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5" w:rsidRDefault="00A56DF3" w:rsidP="005D0A8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334385" cy="11677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85" w:rsidRDefault="005D0A85" w:rsidP="005D0A85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62.55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" strokecolor="white [3212]">
                <v:textbox style="mso-fit-shape-to-text:t">
                  <w:txbxContent>
                    <w:p w:rsidR="005D0A85" w:rsidRDefault="005D0A85" w:rsidP="005D0A85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0A85" w:rsidRDefault="005D0A85" w:rsidP="005D0A85"/>
    <w:p w:rsidR="005D0A85" w:rsidRDefault="00A56DF3" w:rsidP="005D0A8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296910" cy="351790"/>
                <wp:effectExtent l="0" t="0" r="889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351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9ECBE" id="Rectangle 3" o:spid="_x0000_s1026" style="position:absolute;margin-left:-110.3pt;margin-top:18.6pt;width:653.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" fillcolor="black [3213]"/>
            </w:pict>
          </mc:Fallback>
        </mc:AlternateContent>
      </w:r>
    </w:p>
    <w:p w:rsidR="005D0A85" w:rsidRDefault="005D0A85" w:rsidP="005D0A85"/>
    <w:p w:rsidR="005D0A85" w:rsidRDefault="006326C7" w:rsidP="005D0A85">
      <w:pPr>
        <w:pStyle w:val="Heading1"/>
      </w:pPr>
      <w:r>
        <w:t>8712 Reports</w:t>
      </w:r>
    </w:p>
    <w:p w:rsidR="005D0A85" w:rsidRDefault="00977048" w:rsidP="005D0A85">
      <w:r>
        <w:t xml:space="preserve">Last Updated: </w:t>
      </w:r>
      <w:r w:rsidR="006326C7">
        <w:t>11/28/16</w:t>
      </w:r>
    </w:p>
    <w:p w:rsidR="006326C7" w:rsidRDefault="006326C7" w:rsidP="005D0A85">
      <w:r>
        <w:t xml:space="preserve">8712 requires MHDO to produce a number of health data reports in addition to the publication of </w:t>
      </w:r>
      <w:hyperlink r:id="rId12" w:history="1">
        <w:r w:rsidRPr="00144351">
          <w:rPr>
            <w:rStyle w:val="Hyperlink"/>
          </w:rPr>
          <w:t>www.comparemaine.org</w:t>
        </w:r>
      </w:hyperlink>
      <w:r>
        <w:t xml:space="preserve">. The language of the statute can be found here: </w:t>
      </w:r>
      <w:hyperlink r:id="rId13" w:history="1">
        <w:r w:rsidRPr="00144351">
          <w:rPr>
            <w:rStyle w:val="Hyperlink"/>
          </w:rPr>
          <w:t>http://legislature.maine.gov/statutes/22/title22sec8712.html</w:t>
        </w:r>
      </w:hyperlink>
      <w:r>
        <w:t>.</w:t>
      </w:r>
    </w:p>
    <w:p w:rsidR="006326C7" w:rsidRDefault="006326C7" w:rsidP="005D0A85">
      <w:r>
        <w:t>Below are a series of proposed table shells to comply with this mandate</w:t>
      </w:r>
      <w:r w:rsidR="00E17BE6">
        <w:t xml:space="preserve"> along with other requests received for reporting information</w:t>
      </w:r>
      <w:bookmarkStart w:id="0" w:name="_GoBack"/>
      <w:bookmarkEnd w:id="0"/>
      <w:r>
        <w:t xml:space="preserve">. Like </w:t>
      </w:r>
      <w:proofErr w:type="spellStart"/>
      <w:r>
        <w:t>CompareMaine</w:t>
      </w:r>
      <w:proofErr w:type="spellEnd"/>
      <w:r>
        <w:t xml:space="preserve">, the reports will rely on APCD data and will display the median amount paid. Additionally, we will include a count field and a total paid field. </w:t>
      </w:r>
      <w:r w:rsidR="002F1CCE">
        <w:t>Analysis will be limited to services and procedures rendered by Maine providers.</w:t>
      </w:r>
    </w:p>
    <w:tbl>
      <w:tblPr>
        <w:tblW w:w="8223" w:type="dxa"/>
        <w:tblLook w:val="04A0" w:firstRow="1" w:lastRow="0" w:firstColumn="1" w:lastColumn="0" w:noHBand="0" w:noVBand="1"/>
      </w:tblPr>
      <w:tblGrid>
        <w:gridCol w:w="2850"/>
        <w:gridCol w:w="750"/>
        <w:gridCol w:w="2460"/>
        <w:gridCol w:w="2163"/>
      </w:tblGrid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Table 1. 15 Most Common Diagnosis Related Groups,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Diagnosis Related Group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F1CCE" w:rsidRDefault="002F1CCE">
      <w:r>
        <w:br w:type="page"/>
      </w:r>
    </w:p>
    <w:tbl>
      <w:tblPr>
        <w:tblW w:w="8223" w:type="dxa"/>
        <w:tblLook w:val="04A0" w:firstRow="1" w:lastRow="0" w:firstColumn="1" w:lastColumn="0" w:noHBand="0" w:noVBand="1"/>
      </w:tblPr>
      <w:tblGrid>
        <w:gridCol w:w="2850"/>
        <w:gridCol w:w="750"/>
        <w:gridCol w:w="2460"/>
        <w:gridCol w:w="2163"/>
      </w:tblGrid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lastRenderedPageBreak/>
              <w:t>Table 2. 15 Most Common Outpatient Procedures,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Table 3. Procedures for Nonhospital Health Care Facilities,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F1CCE" w:rsidRDefault="002F1CCE">
      <w:r>
        <w:br w:type="page"/>
      </w:r>
    </w:p>
    <w:tbl>
      <w:tblPr>
        <w:tblW w:w="8223" w:type="dxa"/>
        <w:tblLook w:val="04A0" w:firstRow="1" w:lastRow="0" w:firstColumn="1" w:lastColumn="0" w:noHBand="0" w:noVBand="1"/>
      </w:tblPr>
      <w:tblGrid>
        <w:gridCol w:w="2850"/>
        <w:gridCol w:w="750"/>
        <w:gridCol w:w="2460"/>
        <w:gridCol w:w="2163"/>
      </w:tblGrid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lastRenderedPageBreak/>
              <w:t>Table 4. 10 Services and Procedures by Osteopathic and Allopathic Physicians,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Procedure/Service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Table 5. 10 Inpatient Procedures for Medicare Beneficiaries,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Procedure/Service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Table 6. 10 Outpatient Procedures for Medicare Beneficiaries,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Procedure/Service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lastRenderedPageBreak/>
              <w:t>Table 7. 10 Most Common Chiropractic Procedures, APCD CY 2014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Procedure/Service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Count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Median Paid Amount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b/>
                <w:bCs/>
                <w:color w:val="000000"/>
                <w:lang w:bidi="ar-SA"/>
              </w:rPr>
              <w:t>Total Paid Amount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  <w:r w:rsidRPr="002F1CCE">
              <w:rPr>
                <w:rFonts w:ascii="Calibri Light" w:eastAsia="Times New Roman" w:hAnsi="Calibri Light" w:cs="Calibri Light"/>
                <w:color w:val="000000"/>
                <w:lang w:bidi="ar-SA"/>
              </w:rPr>
              <w:t> </w:t>
            </w: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F1CCE" w:rsidRPr="002F1CCE" w:rsidTr="002F1CCE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CE" w:rsidRPr="002F1CCE" w:rsidRDefault="002F1CCE" w:rsidP="002F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F1CCE" w:rsidRDefault="002F1CCE" w:rsidP="005D0A85"/>
    <w:sectPr w:rsidR="002F1CCE" w:rsidSect="00600031">
      <w:footerReference w:type="default" r:id="rId14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85" w:rsidRDefault="005D0A85" w:rsidP="005D0A85">
      <w:pPr>
        <w:spacing w:after="0" w:line="240" w:lineRule="auto"/>
      </w:pPr>
      <w:r>
        <w:separator/>
      </w:r>
    </w:p>
  </w:endnote>
  <w:endnote w:type="continuationSeparator" w:id="0">
    <w:p w:rsidR="005D0A85" w:rsidRDefault="005D0A85" w:rsidP="005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80575"/>
      <w:docPartObj>
        <w:docPartGallery w:val="Page Numbers (Bottom of Page)"/>
        <w:docPartUnique/>
      </w:docPartObj>
    </w:sdtPr>
    <w:sdtEndPr/>
    <w:sdtContent>
      <w:p w:rsidR="00050C26" w:rsidRDefault="006326C7" w:rsidP="00600031">
        <w:pPr>
          <w:pStyle w:val="Footer"/>
          <w:pBdr>
            <w:top w:val="single" w:sz="4" w:space="1" w:color="auto"/>
          </w:pBdr>
          <w:rPr>
            <w:noProof/>
          </w:rPr>
        </w:pPr>
        <w:r>
          <w:tab/>
        </w:r>
        <w:r w:rsidR="00545B0E">
          <w:t xml:space="preserve">Page | </w:t>
        </w:r>
        <w:r w:rsidR="00B72675">
          <w:fldChar w:fldCharType="begin"/>
        </w:r>
        <w:r w:rsidR="00545B0E">
          <w:instrText xml:space="preserve"> PAGE   \* MERGEFORMAT </w:instrText>
        </w:r>
        <w:r w:rsidR="00B72675">
          <w:fldChar w:fldCharType="separate"/>
        </w:r>
        <w:r w:rsidR="00E17BE6">
          <w:rPr>
            <w:noProof/>
          </w:rPr>
          <w:t>2</w:t>
        </w:r>
        <w:r w:rsidR="00B72675">
          <w:rPr>
            <w:noProof/>
          </w:rPr>
          <w:fldChar w:fldCharType="end"/>
        </w:r>
        <w:r>
          <w:rPr>
            <w:noProof/>
          </w:rPr>
          <w:t xml:space="preserve"> MHDO Working Document Do Not Distribute</w:t>
        </w:r>
        <w:r w:rsidR="00545B0E">
          <w:tab/>
        </w:r>
      </w:p>
    </w:sdtContent>
  </w:sdt>
  <w:p w:rsidR="00050C26" w:rsidRDefault="00E17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85" w:rsidRDefault="005D0A85" w:rsidP="005D0A85">
      <w:pPr>
        <w:spacing w:after="0" w:line="240" w:lineRule="auto"/>
      </w:pPr>
      <w:r>
        <w:separator/>
      </w:r>
    </w:p>
  </w:footnote>
  <w:footnote w:type="continuationSeparator" w:id="0">
    <w:p w:rsidR="005D0A85" w:rsidRDefault="005D0A85" w:rsidP="005D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A2"/>
    <w:multiLevelType w:val="hybridMultilevel"/>
    <w:tmpl w:val="A130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15EB"/>
    <w:multiLevelType w:val="hybridMultilevel"/>
    <w:tmpl w:val="2A8E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D1F"/>
    <w:multiLevelType w:val="hybridMultilevel"/>
    <w:tmpl w:val="D522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6646"/>
    <w:multiLevelType w:val="hybridMultilevel"/>
    <w:tmpl w:val="97B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78AE"/>
    <w:multiLevelType w:val="hybridMultilevel"/>
    <w:tmpl w:val="1DCEE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2E4B"/>
    <w:multiLevelType w:val="hybridMultilevel"/>
    <w:tmpl w:val="515E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9061F"/>
    <w:multiLevelType w:val="hybridMultilevel"/>
    <w:tmpl w:val="65561D7E"/>
    <w:lvl w:ilvl="0" w:tplc="47ACFB5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85"/>
    <w:rsid w:val="000D67AB"/>
    <w:rsid w:val="00105E91"/>
    <w:rsid w:val="001E1180"/>
    <w:rsid w:val="001E373F"/>
    <w:rsid w:val="002968FB"/>
    <w:rsid w:val="002B7595"/>
    <w:rsid w:val="002F1CCE"/>
    <w:rsid w:val="003D2921"/>
    <w:rsid w:val="00401298"/>
    <w:rsid w:val="00503A1B"/>
    <w:rsid w:val="00545B0E"/>
    <w:rsid w:val="005A3CB8"/>
    <w:rsid w:val="005D0A85"/>
    <w:rsid w:val="006326C7"/>
    <w:rsid w:val="006B185F"/>
    <w:rsid w:val="006E401E"/>
    <w:rsid w:val="006E62A1"/>
    <w:rsid w:val="007657F9"/>
    <w:rsid w:val="00884400"/>
    <w:rsid w:val="00977048"/>
    <w:rsid w:val="00A56DF3"/>
    <w:rsid w:val="00A93815"/>
    <w:rsid w:val="00AA2F84"/>
    <w:rsid w:val="00B55FC0"/>
    <w:rsid w:val="00B72675"/>
    <w:rsid w:val="00C41D74"/>
    <w:rsid w:val="00CB1ACA"/>
    <w:rsid w:val="00CB5975"/>
    <w:rsid w:val="00D36499"/>
    <w:rsid w:val="00D76641"/>
    <w:rsid w:val="00DC4718"/>
    <w:rsid w:val="00E17BE6"/>
    <w:rsid w:val="00E43B41"/>
    <w:rsid w:val="00F03030"/>
    <w:rsid w:val="00F13D0B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5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85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8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D0A85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D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5D0A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F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85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5F"/>
    <w:rPr>
      <w:rFonts w:asciiTheme="majorHAnsi" w:eastAsiaTheme="majorEastAsia" w:hAnsiTheme="majorHAnsi" w:cstheme="majorBidi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5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A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85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85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D0A85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5D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85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5D0A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F"/>
    <w:rPr>
      <w:rFonts w:ascii="Tahoma" w:eastAsiaTheme="maj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85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5F"/>
    <w:rPr>
      <w:rFonts w:asciiTheme="majorHAnsi" w:eastAsiaTheme="majorEastAsia" w:hAnsiTheme="majorHAnsi" w:cstheme="majorBid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hyperlink" Target="http://legislature.maine.gov/statutes/22/title22sec871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aremain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hdo.maine.gov/imh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Harrington, Karynlee</cp:lastModifiedBy>
  <cp:revision>2</cp:revision>
  <dcterms:created xsi:type="dcterms:W3CDTF">2017-02-24T18:17:00Z</dcterms:created>
  <dcterms:modified xsi:type="dcterms:W3CDTF">2017-02-24T18:17:00Z</dcterms:modified>
</cp:coreProperties>
</file>