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33A75" w14:textId="77777777" w:rsidR="0038264A" w:rsidRDefault="004147C2" w:rsidP="007C4960">
      <w:pPr>
        <w:jc w:val="center"/>
        <w:rPr>
          <w:rFonts w:cs="Arial"/>
          <w:b/>
          <w:sz w:val="24"/>
          <w:szCs w:val="24"/>
        </w:rPr>
      </w:pPr>
      <w:bookmarkStart w:id="0" w:name="_GoBack"/>
      <w:bookmarkEnd w:id="0"/>
      <w:r>
        <w:rPr>
          <w:noProof/>
        </w:rPr>
        <w:drawing>
          <wp:inline distT="0" distB="0" distL="0" distR="0" wp14:anchorId="75E10896" wp14:editId="5513605F">
            <wp:extent cx="2933065" cy="802005"/>
            <wp:effectExtent l="0" t="0" r="635" b="0"/>
            <wp:docPr id="1" name="Picture 1" descr="cid:image001.jpg@01D1486B.B5CBD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86B.B5CBD4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33065" cy="802005"/>
                    </a:xfrm>
                    <a:prstGeom prst="rect">
                      <a:avLst/>
                    </a:prstGeom>
                    <a:noFill/>
                    <a:ln>
                      <a:noFill/>
                    </a:ln>
                  </pic:spPr>
                </pic:pic>
              </a:graphicData>
            </a:graphic>
          </wp:inline>
        </w:drawing>
      </w:r>
    </w:p>
    <w:p w14:paraId="0F0BD756" w14:textId="2634E6C0" w:rsidR="008B570A" w:rsidRDefault="008B570A" w:rsidP="000868B4">
      <w:pPr>
        <w:rPr>
          <w:rFonts w:asciiTheme="minorHAnsi" w:hAnsiTheme="minorHAnsi" w:cs="Arial"/>
          <w:sz w:val="24"/>
          <w:szCs w:val="24"/>
        </w:rPr>
      </w:pPr>
    </w:p>
    <w:p w14:paraId="36A1F2CF" w14:textId="77777777" w:rsidR="008B570A" w:rsidRDefault="008B570A" w:rsidP="000868B4">
      <w:pPr>
        <w:rPr>
          <w:rFonts w:asciiTheme="minorHAnsi" w:hAnsiTheme="minorHAnsi" w:cs="Arial"/>
          <w:sz w:val="24"/>
          <w:szCs w:val="24"/>
        </w:rPr>
      </w:pPr>
    </w:p>
    <w:p w14:paraId="22F54E2E" w14:textId="08B68C89" w:rsidR="00734A65" w:rsidRPr="00CF634B" w:rsidRDefault="00734A65" w:rsidP="00EA4F5C">
      <w:pPr>
        <w:rPr>
          <w:rFonts w:asciiTheme="minorHAnsi" w:hAnsiTheme="minorHAnsi" w:cs="Arial"/>
          <w:b/>
          <w:sz w:val="24"/>
          <w:szCs w:val="24"/>
        </w:rPr>
      </w:pPr>
      <w:r w:rsidRPr="00CF634B">
        <w:rPr>
          <w:rFonts w:asciiTheme="minorHAnsi" w:hAnsiTheme="minorHAnsi" w:cs="Arial"/>
          <w:b/>
          <w:sz w:val="24"/>
          <w:szCs w:val="24"/>
        </w:rPr>
        <w:t xml:space="preserve">Chapter </w:t>
      </w:r>
      <w:r w:rsidR="00301A6F" w:rsidRPr="00CF634B">
        <w:rPr>
          <w:rFonts w:asciiTheme="minorHAnsi" w:hAnsiTheme="minorHAnsi" w:cs="Arial"/>
          <w:b/>
          <w:sz w:val="24"/>
          <w:szCs w:val="24"/>
        </w:rPr>
        <w:t>570: Uniform Reporting System for Prescription Drug Price Data Sets</w:t>
      </w:r>
      <w:r w:rsidR="00673496">
        <w:rPr>
          <w:rFonts w:asciiTheme="minorHAnsi" w:hAnsiTheme="minorHAnsi" w:cs="Arial"/>
          <w:b/>
          <w:sz w:val="24"/>
          <w:szCs w:val="24"/>
        </w:rPr>
        <w:t xml:space="preserve"> </w:t>
      </w:r>
    </w:p>
    <w:p w14:paraId="37C505F1" w14:textId="77777777" w:rsidR="000868B4" w:rsidRPr="00CF634B" w:rsidRDefault="000868B4" w:rsidP="000868B4">
      <w:pPr>
        <w:rPr>
          <w:rFonts w:asciiTheme="minorHAnsi" w:hAnsiTheme="minorHAnsi" w:cs="Arial"/>
          <w:sz w:val="24"/>
          <w:szCs w:val="24"/>
        </w:rPr>
      </w:pPr>
    </w:p>
    <w:p w14:paraId="6E2AB2D0" w14:textId="77777777" w:rsidR="000868B4" w:rsidRPr="00CF634B" w:rsidRDefault="000868B4" w:rsidP="000868B4">
      <w:pPr>
        <w:rPr>
          <w:rFonts w:asciiTheme="minorHAnsi" w:hAnsiTheme="minorHAnsi" w:cs="Arial"/>
          <w:b/>
          <w:sz w:val="24"/>
          <w:szCs w:val="24"/>
          <w:u w:val="single"/>
        </w:rPr>
      </w:pPr>
      <w:r w:rsidRPr="00CF634B">
        <w:rPr>
          <w:rFonts w:asciiTheme="minorHAnsi" w:hAnsiTheme="minorHAnsi" w:cs="Arial"/>
          <w:b/>
          <w:sz w:val="24"/>
          <w:szCs w:val="24"/>
          <w:u w:val="single"/>
        </w:rPr>
        <w:t>Table of Contents</w:t>
      </w:r>
    </w:p>
    <w:p w14:paraId="771AC3DB" w14:textId="77777777" w:rsidR="00494720" w:rsidRPr="00CF634B" w:rsidRDefault="00494720" w:rsidP="000868B4">
      <w:pPr>
        <w:rPr>
          <w:rFonts w:asciiTheme="minorHAnsi" w:hAnsiTheme="minorHAnsi" w:cs="Arial"/>
          <w:sz w:val="24"/>
          <w:szCs w:val="24"/>
        </w:rPr>
      </w:pPr>
    </w:p>
    <w:p w14:paraId="58D890C8"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  Basis Statement. </w:t>
      </w:r>
    </w:p>
    <w:p w14:paraId="07373BFA" w14:textId="77777777" w:rsidR="000868B4" w:rsidRPr="00CF634B" w:rsidRDefault="000868B4" w:rsidP="000868B4">
      <w:pPr>
        <w:rPr>
          <w:rFonts w:asciiTheme="minorHAnsi" w:hAnsiTheme="minorHAnsi" w:cs="Arial"/>
          <w:sz w:val="24"/>
          <w:szCs w:val="24"/>
        </w:rPr>
      </w:pPr>
    </w:p>
    <w:p w14:paraId="6D0487D6"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II.  Names of Individuals that Submitted Comments. </w:t>
      </w:r>
    </w:p>
    <w:p w14:paraId="61DC086A" w14:textId="77777777" w:rsidR="000868B4" w:rsidRPr="00CF634B" w:rsidRDefault="000868B4" w:rsidP="000868B4">
      <w:pPr>
        <w:rPr>
          <w:rFonts w:asciiTheme="minorHAnsi" w:hAnsiTheme="minorHAnsi" w:cs="Arial"/>
          <w:sz w:val="24"/>
          <w:szCs w:val="24"/>
        </w:rPr>
      </w:pPr>
    </w:p>
    <w:p w14:paraId="513BA518" w14:textId="77777777"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 xml:space="preserve">Section III.  Summary of Comments Received by Submitter with Proposed Agency Response. </w:t>
      </w:r>
    </w:p>
    <w:p w14:paraId="78397AB5" w14:textId="77777777" w:rsidR="000868B4" w:rsidRPr="00CF634B" w:rsidRDefault="000868B4" w:rsidP="000868B4">
      <w:pPr>
        <w:rPr>
          <w:rFonts w:asciiTheme="minorHAnsi" w:hAnsiTheme="minorHAnsi" w:cs="Arial"/>
          <w:sz w:val="24"/>
          <w:szCs w:val="24"/>
        </w:rPr>
      </w:pPr>
    </w:p>
    <w:p w14:paraId="50256EA9" w14:textId="6F629902" w:rsidR="000868B4" w:rsidRPr="00CF634B" w:rsidRDefault="000868B4" w:rsidP="000868B4">
      <w:pPr>
        <w:rPr>
          <w:rFonts w:asciiTheme="minorHAnsi" w:hAnsiTheme="minorHAnsi" w:cs="Arial"/>
          <w:sz w:val="24"/>
          <w:szCs w:val="24"/>
        </w:rPr>
      </w:pPr>
      <w:r w:rsidRPr="00CF634B">
        <w:rPr>
          <w:rFonts w:asciiTheme="minorHAnsi" w:hAnsiTheme="minorHAnsi" w:cs="Arial"/>
          <w:b/>
          <w:sz w:val="24"/>
          <w:szCs w:val="24"/>
        </w:rPr>
        <w:t>Section I. Basis Statement</w:t>
      </w:r>
      <w:r w:rsidRPr="00CF634B">
        <w:rPr>
          <w:rFonts w:asciiTheme="minorHAnsi" w:hAnsiTheme="minorHAnsi" w:cs="Arial"/>
          <w:sz w:val="24"/>
          <w:szCs w:val="24"/>
        </w:rPr>
        <w:t xml:space="preserve"> </w:t>
      </w:r>
    </w:p>
    <w:p w14:paraId="3494D15F" w14:textId="4C30F5DD" w:rsidR="00301A6F" w:rsidRPr="00CF634B" w:rsidRDefault="00301A6F" w:rsidP="000868B4">
      <w:pPr>
        <w:rPr>
          <w:rFonts w:asciiTheme="minorHAnsi" w:hAnsiTheme="minorHAnsi" w:cs="Arial"/>
          <w:sz w:val="24"/>
          <w:szCs w:val="24"/>
        </w:rPr>
      </w:pPr>
    </w:p>
    <w:p w14:paraId="092D8926" w14:textId="558B5B4E" w:rsidR="00301A6F" w:rsidRDefault="00301A6F" w:rsidP="00BF5CD9">
      <w:pPr>
        <w:rPr>
          <w:rFonts w:asciiTheme="minorHAnsi" w:hAnsiTheme="minorHAnsi" w:cs="Arial"/>
          <w:sz w:val="24"/>
          <w:szCs w:val="24"/>
        </w:rPr>
      </w:pPr>
      <w:r w:rsidRPr="00CF634B">
        <w:rPr>
          <w:rFonts w:asciiTheme="minorHAnsi" w:hAnsiTheme="minorHAnsi" w:cs="Arial"/>
          <w:sz w:val="24"/>
          <w:szCs w:val="24"/>
        </w:rPr>
        <w:t xml:space="preserve">The Maine Health Data Organization (MHDO) is authorized by statute to collect health care data, including prescription drug price data.  The purpose of this Chapter is to explain the provisions for filing prescription drug price sets from prescription drug manufacturers, wholesale </w:t>
      </w:r>
      <w:r w:rsidR="00A66DD4">
        <w:rPr>
          <w:rFonts w:asciiTheme="minorHAnsi" w:hAnsiTheme="minorHAnsi" w:cs="Arial"/>
          <w:sz w:val="24"/>
          <w:szCs w:val="24"/>
        </w:rPr>
        <w:t xml:space="preserve">drug </w:t>
      </w:r>
      <w:r w:rsidRPr="00CF634B">
        <w:rPr>
          <w:rFonts w:asciiTheme="minorHAnsi" w:hAnsiTheme="minorHAnsi" w:cs="Arial"/>
          <w:sz w:val="24"/>
          <w:szCs w:val="24"/>
        </w:rPr>
        <w:t>distributors and pharmacy benefits managers.</w:t>
      </w:r>
    </w:p>
    <w:p w14:paraId="5E3AAC6E" w14:textId="0BF5E3C9" w:rsidR="004B7B82" w:rsidRDefault="004B7B82" w:rsidP="00BF5CD9">
      <w:pPr>
        <w:rPr>
          <w:rFonts w:asciiTheme="minorHAnsi" w:hAnsiTheme="minorHAnsi" w:cs="Arial"/>
          <w:sz w:val="24"/>
          <w:szCs w:val="24"/>
        </w:rPr>
      </w:pPr>
    </w:p>
    <w:p w14:paraId="20B0E598" w14:textId="701C0EB5" w:rsidR="004B7B82" w:rsidRPr="004B7B82" w:rsidRDefault="004B7B82" w:rsidP="004B7B82">
      <w:pPr>
        <w:rPr>
          <w:rFonts w:asciiTheme="minorHAnsi" w:hAnsiTheme="minorHAnsi" w:cs="Arial"/>
          <w:sz w:val="24"/>
          <w:szCs w:val="24"/>
        </w:rPr>
      </w:pPr>
      <w:r w:rsidRPr="004B7B82">
        <w:rPr>
          <w:rFonts w:asciiTheme="minorHAnsi" w:hAnsiTheme="minorHAnsi" w:cs="Arial"/>
          <w:sz w:val="24"/>
          <w:szCs w:val="24"/>
        </w:rPr>
        <w:t>The proposed revisions will clarify the requirements for reporting entities, which will ensure more uniform data submission, and streamline the data collection and validation process.</w:t>
      </w:r>
    </w:p>
    <w:p w14:paraId="3809B4AF" w14:textId="77777777" w:rsidR="00301A6F" w:rsidRPr="00CF634B" w:rsidRDefault="00301A6F" w:rsidP="00BF5CD9">
      <w:pPr>
        <w:rPr>
          <w:rFonts w:asciiTheme="minorHAnsi" w:hAnsiTheme="minorHAnsi" w:cs="Arial"/>
          <w:sz w:val="24"/>
          <w:szCs w:val="24"/>
        </w:rPr>
      </w:pPr>
    </w:p>
    <w:p w14:paraId="32F32A82" w14:textId="0F586A5B" w:rsidR="00301A6F" w:rsidRPr="00CF634B" w:rsidRDefault="00301A6F" w:rsidP="00BF5CD9">
      <w:pPr>
        <w:rPr>
          <w:rFonts w:asciiTheme="minorHAnsi" w:hAnsiTheme="minorHAnsi" w:cs="Arial"/>
          <w:sz w:val="24"/>
          <w:szCs w:val="24"/>
        </w:rPr>
      </w:pPr>
      <w:r w:rsidRPr="00CF634B">
        <w:rPr>
          <w:rFonts w:asciiTheme="minorHAnsi" w:hAnsiTheme="minorHAnsi" w:cs="Arial"/>
          <w:sz w:val="24"/>
          <w:szCs w:val="24"/>
        </w:rPr>
        <w:t xml:space="preserve">The MHDO Board met on </w:t>
      </w:r>
      <w:r w:rsidR="00300B2F">
        <w:rPr>
          <w:rFonts w:asciiTheme="minorHAnsi" w:hAnsiTheme="minorHAnsi" w:cs="Arial"/>
          <w:sz w:val="24"/>
          <w:szCs w:val="24"/>
        </w:rPr>
        <w:t>June 4, 2020</w:t>
      </w:r>
      <w:r w:rsidRPr="00CF634B">
        <w:rPr>
          <w:rFonts w:asciiTheme="minorHAnsi" w:hAnsiTheme="minorHAnsi" w:cs="Arial"/>
          <w:sz w:val="24"/>
          <w:szCs w:val="24"/>
        </w:rPr>
        <w:t xml:space="preserve"> and authorized the MHDO to initiate rulemaking to Chapter 570 (22 MRSA §8704, sub-§1; §8705-A; §8737).</w:t>
      </w:r>
      <w:r w:rsidR="000A2985" w:rsidRPr="00CF634B">
        <w:rPr>
          <w:rFonts w:asciiTheme="minorHAnsi" w:hAnsiTheme="minorHAnsi" w:cs="Arial"/>
          <w:sz w:val="24"/>
          <w:szCs w:val="24"/>
        </w:rPr>
        <w:t xml:space="preserve"> A public hearing was held on </w:t>
      </w:r>
      <w:r w:rsidR="00300B2F">
        <w:rPr>
          <w:rFonts w:asciiTheme="minorHAnsi" w:hAnsiTheme="minorHAnsi" w:cs="Arial"/>
          <w:sz w:val="24"/>
          <w:szCs w:val="24"/>
        </w:rPr>
        <w:t>September 3, 2020</w:t>
      </w:r>
      <w:r w:rsidR="000A2985" w:rsidRPr="00CF634B">
        <w:rPr>
          <w:rFonts w:asciiTheme="minorHAnsi" w:hAnsiTheme="minorHAnsi" w:cs="Arial"/>
          <w:sz w:val="24"/>
          <w:szCs w:val="24"/>
        </w:rPr>
        <w:t xml:space="preserve"> with a </w:t>
      </w:r>
      <w:r w:rsidR="0050791D" w:rsidRPr="00CF634B">
        <w:rPr>
          <w:rFonts w:asciiTheme="minorHAnsi" w:hAnsiTheme="minorHAnsi" w:cs="Arial"/>
          <w:sz w:val="24"/>
          <w:szCs w:val="24"/>
        </w:rPr>
        <w:t>10-day</w:t>
      </w:r>
      <w:r w:rsidR="000A2985" w:rsidRPr="00CF634B">
        <w:rPr>
          <w:rFonts w:asciiTheme="minorHAnsi" w:hAnsiTheme="minorHAnsi" w:cs="Arial"/>
          <w:sz w:val="24"/>
          <w:szCs w:val="24"/>
        </w:rPr>
        <w:t xml:space="preserve"> public comment period. </w:t>
      </w:r>
      <w:r w:rsidRPr="00CF634B">
        <w:rPr>
          <w:rFonts w:asciiTheme="minorHAnsi" w:hAnsiTheme="minorHAnsi" w:cs="Arial"/>
          <w:sz w:val="24"/>
          <w:szCs w:val="24"/>
        </w:rPr>
        <w:t xml:space="preserve">This </w:t>
      </w:r>
      <w:r w:rsidR="00300B2F">
        <w:rPr>
          <w:rFonts w:asciiTheme="minorHAnsi" w:hAnsiTheme="minorHAnsi" w:cs="Arial"/>
          <w:sz w:val="24"/>
          <w:szCs w:val="24"/>
        </w:rPr>
        <w:t xml:space="preserve">is </w:t>
      </w:r>
      <w:r w:rsidRPr="00CF634B">
        <w:rPr>
          <w:rFonts w:asciiTheme="minorHAnsi" w:hAnsiTheme="minorHAnsi" w:cs="Arial"/>
          <w:sz w:val="24"/>
          <w:szCs w:val="24"/>
        </w:rPr>
        <w:t>a major substantive rule (PL 2019 c470, Section 10).</w:t>
      </w:r>
    </w:p>
    <w:p w14:paraId="1DF30F09" w14:textId="2CE54A23" w:rsidR="004B7B82" w:rsidRPr="00C563D0" w:rsidRDefault="004B7B82" w:rsidP="004B7B82">
      <w:pPr>
        <w:rPr>
          <w:rFonts w:ascii="Calibri" w:hAnsi="Calibri" w:cs="Arial"/>
          <w:b/>
          <w:color w:val="000000"/>
          <w:sz w:val="24"/>
          <w:szCs w:val="24"/>
        </w:rPr>
      </w:pPr>
    </w:p>
    <w:p w14:paraId="54508EE8" w14:textId="77777777" w:rsidR="00673496" w:rsidRDefault="00673496" w:rsidP="000868B4">
      <w:pPr>
        <w:rPr>
          <w:rFonts w:asciiTheme="minorHAnsi" w:hAnsiTheme="minorHAnsi" w:cs="Arial"/>
          <w:b/>
          <w:sz w:val="24"/>
          <w:szCs w:val="24"/>
        </w:rPr>
      </w:pPr>
    </w:p>
    <w:p w14:paraId="50912153" w14:textId="5DD5209A" w:rsidR="000868B4" w:rsidRPr="00CF634B" w:rsidRDefault="000868B4" w:rsidP="000868B4">
      <w:pPr>
        <w:rPr>
          <w:rFonts w:asciiTheme="minorHAnsi" w:hAnsiTheme="minorHAnsi" w:cs="Arial"/>
          <w:b/>
          <w:sz w:val="24"/>
          <w:szCs w:val="24"/>
        </w:rPr>
      </w:pPr>
      <w:r w:rsidRPr="00CF634B">
        <w:rPr>
          <w:rFonts w:asciiTheme="minorHAnsi" w:hAnsiTheme="minorHAnsi" w:cs="Arial"/>
          <w:b/>
          <w:sz w:val="24"/>
          <w:szCs w:val="24"/>
        </w:rPr>
        <w:t>Section II. Names of Individuals that Submitted Comments</w:t>
      </w:r>
    </w:p>
    <w:p w14:paraId="6AB856CD" w14:textId="77777777" w:rsidR="000868B4" w:rsidRPr="00CF634B" w:rsidRDefault="000868B4" w:rsidP="000868B4">
      <w:pPr>
        <w:rPr>
          <w:rFonts w:asciiTheme="minorHAnsi" w:hAnsiTheme="minorHAnsi" w:cs="Arial"/>
          <w:b/>
          <w:sz w:val="24"/>
          <w:szCs w:val="24"/>
        </w:rPr>
      </w:pPr>
    </w:p>
    <w:p w14:paraId="3CE6D4A8" w14:textId="77BBB27A"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The following is a list of individuals and affiliations that submitted written comments to the Maine Health Data Organization (MHDO) regarding the proposed rule:</w:t>
      </w:r>
    </w:p>
    <w:p w14:paraId="7E79173B" w14:textId="77777777" w:rsidR="000868B4" w:rsidRPr="00CF634B" w:rsidRDefault="000868B4" w:rsidP="000868B4">
      <w:pPr>
        <w:rPr>
          <w:rFonts w:asciiTheme="minorHAnsi" w:hAnsiTheme="minorHAnsi" w:cs="Arial"/>
          <w:sz w:val="24"/>
          <w:szCs w:val="24"/>
        </w:rPr>
      </w:pPr>
    </w:p>
    <w:p w14:paraId="067D2959" w14:textId="197C010E" w:rsidR="000868B4" w:rsidRPr="00357FA1" w:rsidRDefault="00376DC5" w:rsidP="00376DC5">
      <w:pPr>
        <w:numPr>
          <w:ilvl w:val="0"/>
          <w:numId w:val="1"/>
        </w:numPr>
        <w:rPr>
          <w:rFonts w:asciiTheme="minorHAnsi" w:hAnsiTheme="minorHAnsi" w:cs="Arial"/>
          <w:sz w:val="24"/>
          <w:szCs w:val="24"/>
        </w:rPr>
      </w:pPr>
      <w:r w:rsidRPr="00357FA1">
        <w:rPr>
          <w:rFonts w:asciiTheme="minorHAnsi" w:hAnsiTheme="minorHAnsi" w:cs="Arial"/>
          <w:sz w:val="24"/>
          <w:szCs w:val="24"/>
        </w:rPr>
        <w:t>Sam Hall</w:t>
      </w:r>
      <w:r w:rsidR="00357FA1" w:rsidRPr="00357FA1">
        <w:rPr>
          <w:rFonts w:asciiTheme="minorHAnsi" w:hAnsiTheme="minorHAnsi" w:cs="Arial"/>
          <w:sz w:val="24"/>
          <w:szCs w:val="24"/>
        </w:rPr>
        <w:t>emeier</w:t>
      </w:r>
      <w:r w:rsidR="00301A6F" w:rsidRPr="00357FA1">
        <w:rPr>
          <w:rFonts w:asciiTheme="minorHAnsi" w:hAnsiTheme="minorHAnsi" w:cs="Arial"/>
          <w:sz w:val="24"/>
          <w:szCs w:val="24"/>
        </w:rPr>
        <w:t>, Pharmaceutical Care Management Association (PCMA)</w:t>
      </w:r>
    </w:p>
    <w:p w14:paraId="2861FBCE" w14:textId="718D9F61" w:rsidR="00EC6122" w:rsidRDefault="00A748FA" w:rsidP="000868B4">
      <w:pPr>
        <w:pStyle w:val="ListParagraph"/>
        <w:numPr>
          <w:ilvl w:val="0"/>
          <w:numId w:val="1"/>
        </w:numPr>
        <w:rPr>
          <w:rFonts w:asciiTheme="minorHAnsi" w:hAnsiTheme="minorHAnsi" w:cs="Arial"/>
          <w:sz w:val="24"/>
          <w:szCs w:val="24"/>
        </w:rPr>
      </w:pPr>
      <w:r>
        <w:rPr>
          <w:rFonts w:asciiTheme="minorHAnsi" w:hAnsiTheme="minorHAnsi" w:cs="Arial"/>
          <w:sz w:val="24"/>
          <w:szCs w:val="24"/>
        </w:rPr>
        <w:t>William Dane, Healthcare Distribution Alliance (HDA)</w:t>
      </w:r>
    </w:p>
    <w:p w14:paraId="61282E8B" w14:textId="13CEA6B5" w:rsidR="00B64942" w:rsidRDefault="00B64942" w:rsidP="000868B4">
      <w:pPr>
        <w:pStyle w:val="ListParagraph"/>
        <w:numPr>
          <w:ilvl w:val="0"/>
          <w:numId w:val="1"/>
        </w:numPr>
        <w:rPr>
          <w:rFonts w:asciiTheme="minorHAnsi" w:hAnsiTheme="minorHAnsi" w:cs="Arial"/>
          <w:sz w:val="24"/>
          <w:szCs w:val="24"/>
        </w:rPr>
      </w:pPr>
      <w:r>
        <w:rPr>
          <w:rFonts w:asciiTheme="minorHAnsi" w:hAnsiTheme="minorHAnsi" w:cs="Arial"/>
          <w:sz w:val="24"/>
          <w:szCs w:val="24"/>
        </w:rPr>
        <w:t>Nicolas Doherty, PhRMA</w:t>
      </w:r>
    </w:p>
    <w:p w14:paraId="79DE293E" w14:textId="2382B257" w:rsidR="00580FEF" w:rsidRPr="005376DB" w:rsidRDefault="00580FEF" w:rsidP="000868B4">
      <w:pPr>
        <w:pStyle w:val="ListParagraph"/>
        <w:numPr>
          <w:ilvl w:val="0"/>
          <w:numId w:val="1"/>
        </w:numPr>
        <w:rPr>
          <w:rFonts w:asciiTheme="minorHAnsi" w:hAnsiTheme="minorHAnsi" w:cs="Arial"/>
          <w:sz w:val="24"/>
          <w:szCs w:val="24"/>
        </w:rPr>
      </w:pPr>
      <w:r>
        <w:rPr>
          <w:rFonts w:asciiTheme="minorHAnsi" w:hAnsiTheme="minorHAnsi" w:cs="Arial"/>
          <w:sz w:val="24"/>
          <w:szCs w:val="24"/>
        </w:rPr>
        <w:t>Karynlee Harrington, Maine Health Data Organization (MHDO)</w:t>
      </w:r>
    </w:p>
    <w:p w14:paraId="15BEA867" w14:textId="77777777" w:rsidR="00803CD8" w:rsidRDefault="00803CD8" w:rsidP="000868B4">
      <w:pPr>
        <w:rPr>
          <w:rFonts w:asciiTheme="minorHAnsi" w:hAnsiTheme="minorHAnsi" w:cs="Arial"/>
          <w:b/>
          <w:sz w:val="24"/>
          <w:szCs w:val="24"/>
        </w:rPr>
      </w:pPr>
    </w:p>
    <w:p w14:paraId="641F6C0C" w14:textId="77777777" w:rsidR="00803CD8" w:rsidRDefault="00803CD8" w:rsidP="000868B4">
      <w:pPr>
        <w:rPr>
          <w:rFonts w:asciiTheme="minorHAnsi" w:hAnsiTheme="minorHAnsi" w:cs="Arial"/>
          <w:b/>
          <w:sz w:val="24"/>
          <w:szCs w:val="24"/>
        </w:rPr>
      </w:pPr>
    </w:p>
    <w:p w14:paraId="10D29F78" w14:textId="74C27C17" w:rsidR="000868B4" w:rsidRPr="00CF634B" w:rsidRDefault="000868B4" w:rsidP="000868B4">
      <w:pPr>
        <w:rPr>
          <w:rFonts w:asciiTheme="minorHAnsi" w:hAnsiTheme="minorHAnsi" w:cs="Arial"/>
          <w:sz w:val="24"/>
          <w:szCs w:val="24"/>
        </w:rPr>
      </w:pPr>
      <w:r w:rsidRPr="00CF634B">
        <w:rPr>
          <w:rFonts w:asciiTheme="minorHAnsi" w:hAnsiTheme="minorHAnsi" w:cs="Arial"/>
          <w:b/>
          <w:sz w:val="24"/>
          <w:szCs w:val="24"/>
        </w:rPr>
        <w:t>Section III. Summary of Comments Received by Submitter with Proposed Agency Response &amp; Action.</w:t>
      </w:r>
      <w:r w:rsidRPr="00CF634B">
        <w:rPr>
          <w:rFonts w:asciiTheme="minorHAnsi" w:hAnsiTheme="minorHAnsi" w:cs="Arial"/>
          <w:sz w:val="24"/>
          <w:szCs w:val="24"/>
        </w:rPr>
        <w:t xml:space="preserve"> </w:t>
      </w:r>
    </w:p>
    <w:p w14:paraId="005C16DE" w14:textId="77777777" w:rsidR="00A36E80" w:rsidRPr="00CF634B" w:rsidRDefault="00A36E80" w:rsidP="000868B4">
      <w:pPr>
        <w:rPr>
          <w:rFonts w:asciiTheme="minorHAnsi" w:hAnsiTheme="minorHAnsi" w:cs="Arial"/>
          <w:sz w:val="24"/>
          <w:szCs w:val="24"/>
        </w:rPr>
      </w:pPr>
    </w:p>
    <w:p w14:paraId="7B3C82ED" w14:textId="52AE8F99" w:rsidR="000868B4" w:rsidRPr="00CF634B" w:rsidRDefault="000868B4" w:rsidP="000868B4">
      <w:pPr>
        <w:rPr>
          <w:rFonts w:asciiTheme="minorHAnsi" w:hAnsiTheme="minorHAnsi" w:cs="Arial"/>
          <w:sz w:val="24"/>
          <w:szCs w:val="24"/>
        </w:rPr>
      </w:pPr>
      <w:r w:rsidRPr="00CF634B">
        <w:rPr>
          <w:rFonts w:asciiTheme="minorHAnsi" w:hAnsiTheme="minorHAnsi" w:cs="Arial"/>
          <w:sz w:val="24"/>
          <w:szCs w:val="24"/>
        </w:rPr>
        <w:t>Below is a summary of the comments received by each sub</w:t>
      </w:r>
      <w:r w:rsidR="00334E3B" w:rsidRPr="00CF634B">
        <w:rPr>
          <w:rFonts w:asciiTheme="minorHAnsi" w:hAnsiTheme="minorHAnsi" w:cs="Arial"/>
          <w:sz w:val="24"/>
          <w:szCs w:val="24"/>
        </w:rPr>
        <w:t>mitter and the proposed Agency R</w:t>
      </w:r>
      <w:r w:rsidRPr="00CF634B">
        <w:rPr>
          <w:rFonts w:asciiTheme="minorHAnsi" w:hAnsiTheme="minorHAnsi" w:cs="Arial"/>
          <w:sz w:val="24"/>
          <w:szCs w:val="24"/>
        </w:rPr>
        <w:t>esponse</w:t>
      </w:r>
      <w:r w:rsidR="00060FC1" w:rsidRPr="00CF634B">
        <w:rPr>
          <w:rFonts w:asciiTheme="minorHAnsi" w:hAnsiTheme="minorHAnsi" w:cs="Arial"/>
          <w:sz w:val="24"/>
          <w:szCs w:val="24"/>
        </w:rPr>
        <w:t xml:space="preserve"> and Board Action</w:t>
      </w:r>
      <w:r w:rsidRPr="00CF634B">
        <w:rPr>
          <w:rFonts w:asciiTheme="minorHAnsi" w:hAnsiTheme="minorHAnsi" w:cs="Arial"/>
          <w:sz w:val="24"/>
          <w:szCs w:val="24"/>
        </w:rPr>
        <w:t xml:space="preserve">: </w:t>
      </w:r>
    </w:p>
    <w:p w14:paraId="5B77B11C" w14:textId="77777777" w:rsidR="00494720" w:rsidRPr="00CF634B" w:rsidRDefault="00494720" w:rsidP="000868B4">
      <w:pPr>
        <w:rPr>
          <w:rFonts w:asciiTheme="minorHAnsi" w:hAnsiTheme="minorHAnsi" w:cs="Arial"/>
          <w:sz w:val="24"/>
          <w:szCs w:val="24"/>
        </w:rPr>
      </w:pPr>
    </w:p>
    <w:p w14:paraId="47C56B0D" w14:textId="4A2184DE" w:rsidR="00907590" w:rsidRPr="00376DC5" w:rsidRDefault="002073F4" w:rsidP="00376DC5">
      <w:pPr>
        <w:pStyle w:val="ListParagraph"/>
        <w:numPr>
          <w:ilvl w:val="0"/>
          <w:numId w:val="7"/>
        </w:numPr>
        <w:rPr>
          <w:rFonts w:asciiTheme="minorHAnsi" w:hAnsiTheme="minorHAnsi" w:cs="Arial"/>
          <w:sz w:val="24"/>
          <w:szCs w:val="24"/>
        </w:rPr>
      </w:pPr>
      <w:r w:rsidRPr="00376DC5">
        <w:rPr>
          <w:rFonts w:asciiTheme="minorHAnsi" w:hAnsiTheme="minorHAnsi" w:cs="Arial"/>
          <w:b/>
          <w:sz w:val="24"/>
          <w:szCs w:val="24"/>
        </w:rPr>
        <w:t xml:space="preserve">Pharmaceutical Care Management </w:t>
      </w:r>
      <w:r w:rsidR="005C3FE3" w:rsidRPr="00376DC5">
        <w:rPr>
          <w:rFonts w:asciiTheme="minorHAnsi" w:hAnsiTheme="minorHAnsi" w:cs="Arial"/>
          <w:b/>
          <w:sz w:val="24"/>
          <w:szCs w:val="24"/>
        </w:rPr>
        <w:t>Association</w:t>
      </w:r>
      <w:r w:rsidR="005C3FE3" w:rsidRPr="00376DC5">
        <w:rPr>
          <w:rFonts w:asciiTheme="minorHAnsi" w:hAnsiTheme="minorHAnsi" w:cs="Arial"/>
          <w:sz w:val="24"/>
          <w:szCs w:val="24"/>
        </w:rPr>
        <w:t xml:space="preserve"> </w:t>
      </w:r>
      <w:r w:rsidR="00A15C41" w:rsidRPr="00376DC5">
        <w:rPr>
          <w:rFonts w:asciiTheme="minorHAnsi" w:hAnsiTheme="minorHAnsi" w:cs="Arial"/>
          <w:sz w:val="24"/>
          <w:szCs w:val="24"/>
        </w:rPr>
        <w:t>submitted</w:t>
      </w:r>
      <w:r w:rsidRPr="00376DC5">
        <w:rPr>
          <w:rFonts w:asciiTheme="minorHAnsi" w:hAnsiTheme="minorHAnsi" w:cs="Arial"/>
          <w:sz w:val="24"/>
          <w:szCs w:val="24"/>
        </w:rPr>
        <w:t xml:space="preserve"> the following comments:</w:t>
      </w:r>
    </w:p>
    <w:p w14:paraId="6FA7EDB3" w14:textId="4737F1C0" w:rsidR="00357FA1" w:rsidRDefault="008A561B" w:rsidP="00636F1F">
      <w:pPr>
        <w:rPr>
          <w:rFonts w:asciiTheme="minorHAnsi" w:hAnsiTheme="minorHAnsi" w:cs="Arial"/>
          <w:b/>
          <w:sz w:val="24"/>
          <w:szCs w:val="24"/>
        </w:rPr>
      </w:pPr>
      <w:r w:rsidRPr="00CF634B">
        <w:rPr>
          <w:rFonts w:asciiTheme="minorHAnsi" w:hAnsiTheme="minorHAnsi" w:cs="Arial"/>
          <w:b/>
          <w:sz w:val="24"/>
          <w:szCs w:val="24"/>
        </w:rPr>
        <w:t>Comment</w:t>
      </w:r>
      <w:r w:rsidR="00357FA1">
        <w:rPr>
          <w:rFonts w:asciiTheme="minorHAnsi" w:hAnsiTheme="minorHAnsi" w:cs="Arial"/>
          <w:b/>
          <w:sz w:val="24"/>
          <w:szCs w:val="24"/>
        </w:rPr>
        <w:t xml:space="preserve"> 1</w:t>
      </w:r>
      <w:r w:rsidRPr="00CF634B">
        <w:rPr>
          <w:rFonts w:asciiTheme="minorHAnsi" w:hAnsiTheme="minorHAnsi" w:cs="Arial"/>
          <w:b/>
          <w:sz w:val="24"/>
          <w:szCs w:val="24"/>
        </w:rPr>
        <w:t xml:space="preserve"> </w:t>
      </w:r>
      <w:r w:rsidR="00376DC5">
        <w:rPr>
          <w:rFonts w:asciiTheme="minorHAnsi" w:hAnsiTheme="minorHAnsi" w:cs="Arial"/>
          <w:b/>
          <w:sz w:val="24"/>
          <w:szCs w:val="24"/>
        </w:rPr>
        <w:t>– (</w:t>
      </w:r>
      <w:r w:rsidR="00357FA1">
        <w:rPr>
          <w:rFonts w:asciiTheme="minorHAnsi" w:hAnsiTheme="minorHAnsi" w:cs="Arial"/>
          <w:b/>
          <w:sz w:val="24"/>
          <w:szCs w:val="24"/>
        </w:rPr>
        <w:t>Statutory Authority (</w:t>
      </w:r>
      <w:r w:rsidR="00357FA1" w:rsidRPr="00357FA1">
        <w:rPr>
          <w:rFonts w:asciiTheme="minorHAnsi" w:hAnsiTheme="minorHAnsi" w:cs="Arial"/>
          <w:b/>
          <w:sz w:val="24"/>
          <w:szCs w:val="24"/>
        </w:rPr>
        <w:t>22 M.R.S. Chapter 1683, Sec. 8736</w:t>
      </w:r>
      <w:r w:rsidR="00376DC5" w:rsidRPr="00357FA1">
        <w:rPr>
          <w:rFonts w:asciiTheme="minorHAnsi" w:hAnsiTheme="minorHAnsi" w:cs="Arial"/>
          <w:b/>
          <w:sz w:val="24"/>
          <w:szCs w:val="24"/>
        </w:rPr>
        <w:t>)</w:t>
      </w:r>
    </w:p>
    <w:p w14:paraId="7FD42737" w14:textId="77777777" w:rsidR="00357FA1" w:rsidRDefault="00357FA1" w:rsidP="00636F1F">
      <w:pPr>
        <w:rPr>
          <w:rFonts w:asciiTheme="minorHAnsi" w:hAnsiTheme="minorHAnsi" w:cs="Arial"/>
          <w:sz w:val="24"/>
          <w:szCs w:val="24"/>
        </w:rPr>
      </w:pPr>
      <w:r w:rsidRPr="00357FA1">
        <w:rPr>
          <w:rFonts w:asciiTheme="minorHAnsi" w:hAnsiTheme="minorHAnsi" w:cs="Arial"/>
          <w:sz w:val="24"/>
          <w:szCs w:val="24"/>
        </w:rPr>
        <w:t xml:space="preserve">The data request in the rulemaking is expanded to include the entire United States.  We strongly believe that any data collection should be limited to just the state of Maine.  The </w:t>
      </w:r>
      <w:r w:rsidRPr="00B04888">
        <w:rPr>
          <w:rFonts w:asciiTheme="minorHAnsi" w:hAnsiTheme="minorHAnsi" w:cs="Arial"/>
          <w:sz w:val="24"/>
          <w:szCs w:val="24"/>
        </w:rPr>
        <w:t>MHDO only has the right to data based on the utilization of drugs in Maine as the MHDO is clearly charged in the law with “providing greater consumer awareness of the factors contributing to the cost of</w:t>
      </w:r>
      <w:r w:rsidRPr="00357FA1">
        <w:rPr>
          <w:rFonts w:asciiTheme="minorHAnsi" w:hAnsiTheme="minorHAnsi" w:cs="Arial"/>
          <w:sz w:val="24"/>
          <w:szCs w:val="24"/>
        </w:rPr>
        <w:t xml:space="preserve"> prescription drugs in the State.” (See 22 M.R.S. Chapter 1683, Sec. 8736) Therefore, the requirement to broaden the data required beyond the borders of Maine goes well beyond that scope.</w:t>
      </w:r>
    </w:p>
    <w:p w14:paraId="3187F45F" w14:textId="77777777" w:rsidR="00357FA1" w:rsidRDefault="00357FA1" w:rsidP="00636F1F">
      <w:pPr>
        <w:rPr>
          <w:rFonts w:asciiTheme="minorHAnsi" w:hAnsiTheme="minorHAnsi" w:cs="Arial"/>
          <w:sz w:val="24"/>
          <w:szCs w:val="24"/>
        </w:rPr>
      </w:pPr>
    </w:p>
    <w:p w14:paraId="4815007F" w14:textId="70D75C99" w:rsidR="00357FA1" w:rsidRDefault="00357FA1" w:rsidP="00FA7528">
      <w:pPr>
        <w:autoSpaceDE w:val="0"/>
        <w:autoSpaceDN w:val="0"/>
        <w:adjustRightInd w:val="0"/>
        <w:rPr>
          <w:rFonts w:asciiTheme="minorHAnsi" w:hAnsiTheme="minorHAnsi" w:cs="Arial"/>
          <w:bCs/>
          <w:sz w:val="24"/>
          <w:szCs w:val="24"/>
        </w:rPr>
      </w:pPr>
      <w:r w:rsidRPr="00CF634B">
        <w:rPr>
          <w:rFonts w:asciiTheme="minorHAnsi" w:hAnsiTheme="minorHAnsi" w:cs="Arial"/>
          <w:b/>
          <w:sz w:val="24"/>
          <w:szCs w:val="24"/>
        </w:rPr>
        <w:t xml:space="preserve">MHDO Staff Response:  </w:t>
      </w:r>
      <w:r w:rsidR="00BD7AAC">
        <w:rPr>
          <w:rFonts w:asciiTheme="minorHAnsi" w:hAnsiTheme="minorHAnsi" w:cs="Arial"/>
          <w:bCs/>
          <w:sz w:val="24"/>
          <w:szCs w:val="24"/>
        </w:rPr>
        <w:t xml:space="preserve"> </w:t>
      </w:r>
      <w:r w:rsidR="00FA7528">
        <w:rPr>
          <w:rFonts w:asciiTheme="minorHAnsi" w:hAnsiTheme="minorHAnsi" w:cs="Arial"/>
          <w:bCs/>
          <w:sz w:val="24"/>
          <w:szCs w:val="24"/>
        </w:rPr>
        <w:t xml:space="preserve">MHDO has an interest in understanding the extent to which rebates negotiated by reporting entities at a national level contribute to the cost of prescription drugs in the State.  </w:t>
      </w:r>
      <w:r w:rsidR="00BD7AAC">
        <w:rPr>
          <w:rFonts w:asciiTheme="minorHAnsi" w:hAnsiTheme="minorHAnsi" w:cs="Arial"/>
          <w:bCs/>
          <w:sz w:val="24"/>
          <w:szCs w:val="24"/>
        </w:rPr>
        <w:t xml:space="preserve">The updated language in Section 2(J)(3) is an administrative clarification that pricing component data elements submitted by Prescription Benefits Managers should be reported at a national level.  This clarification provides consistency in the level of reporting across all reporting entities.  </w:t>
      </w:r>
    </w:p>
    <w:p w14:paraId="2E42F8C3" w14:textId="77777777" w:rsidR="00FA7528" w:rsidRPr="00CF634B" w:rsidRDefault="00FA7528" w:rsidP="00FA7528">
      <w:pPr>
        <w:autoSpaceDE w:val="0"/>
        <w:autoSpaceDN w:val="0"/>
        <w:adjustRightInd w:val="0"/>
        <w:rPr>
          <w:rFonts w:asciiTheme="minorHAnsi" w:hAnsiTheme="minorHAnsi" w:cs="Arial"/>
          <w:b/>
          <w:sz w:val="24"/>
          <w:szCs w:val="24"/>
        </w:rPr>
      </w:pPr>
    </w:p>
    <w:p w14:paraId="68C0E5A5" w14:textId="19E41B93" w:rsidR="00357FA1" w:rsidRPr="00FA7528" w:rsidRDefault="00357FA1" w:rsidP="00636F1F">
      <w:pPr>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DD783C">
        <w:rPr>
          <w:rFonts w:asciiTheme="minorHAnsi" w:hAnsiTheme="minorHAnsi" w:cs="Arial"/>
          <w:bCs/>
          <w:sz w:val="24"/>
          <w:szCs w:val="24"/>
        </w:rPr>
        <w:t>Approve the proposed change</w:t>
      </w:r>
      <w:r w:rsidR="00FA7528">
        <w:rPr>
          <w:rFonts w:asciiTheme="minorHAnsi" w:hAnsiTheme="minorHAnsi" w:cs="Arial"/>
          <w:bCs/>
          <w:sz w:val="24"/>
          <w:szCs w:val="24"/>
        </w:rPr>
        <w:t>.</w:t>
      </w:r>
    </w:p>
    <w:p w14:paraId="77051F54" w14:textId="08F170FB" w:rsidR="00357FA1" w:rsidRPr="00357FA1" w:rsidRDefault="00357FA1" w:rsidP="00357FA1">
      <w:pPr>
        <w:ind w:left="360"/>
        <w:rPr>
          <w:rFonts w:asciiTheme="minorHAnsi" w:hAnsiTheme="minorHAnsi" w:cs="Arial"/>
          <w:sz w:val="24"/>
          <w:szCs w:val="24"/>
        </w:rPr>
      </w:pPr>
      <w:r w:rsidRPr="00357FA1">
        <w:rPr>
          <w:rFonts w:asciiTheme="minorHAnsi" w:hAnsiTheme="minorHAnsi" w:cs="Arial"/>
          <w:sz w:val="24"/>
          <w:szCs w:val="24"/>
        </w:rPr>
        <w:t xml:space="preserve">   </w:t>
      </w:r>
    </w:p>
    <w:p w14:paraId="1A8FBFA5" w14:textId="77777777" w:rsidR="00357FA1" w:rsidRPr="00357FA1" w:rsidRDefault="00357FA1" w:rsidP="00357FA1">
      <w:pPr>
        <w:ind w:left="360"/>
        <w:rPr>
          <w:rFonts w:asciiTheme="minorHAnsi" w:hAnsiTheme="minorHAnsi" w:cs="Arial"/>
          <w:sz w:val="24"/>
          <w:szCs w:val="24"/>
        </w:rPr>
      </w:pPr>
      <w:r w:rsidRPr="00357FA1">
        <w:rPr>
          <w:rFonts w:asciiTheme="minorHAnsi" w:hAnsiTheme="minorHAnsi" w:cs="Arial"/>
          <w:sz w:val="24"/>
          <w:szCs w:val="24"/>
        </w:rPr>
        <w:t xml:space="preserve"> </w:t>
      </w:r>
    </w:p>
    <w:p w14:paraId="143996F7" w14:textId="617FEB15" w:rsidR="00F73C4B" w:rsidRDefault="00357FA1" w:rsidP="00636F1F">
      <w:pPr>
        <w:rPr>
          <w:rFonts w:asciiTheme="minorHAnsi" w:hAnsiTheme="minorHAnsi" w:cs="Arial"/>
          <w:b/>
          <w:sz w:val="24"/>
          <w:szCs w:val="24"/>
        </w:rPr>
      </w:pPr>
      <w:r w:rsidRPr="00357FA1">
        <w:rPr>
          <w:rFonts w:asciiTheme="minorHAnsi" w:hAnsiTheme="minorHAnsi" w:cs="Arial"/>
          <w:b/>
          <w:sz w:val="24"/>
          <w:szCs w:val="24"/>
        </w:rPr>
        <w:t>Comment 2</w:t>
      </w:r>
      <w:r w:rsidR="00F73C4B">
        <w:rPr>
          <w:rFonts w:asciiTheme="minorHAnsi" w:hAnsiTheme="minorHAnsi" w:cs="Arial"/>
          <w:b/>
          <w:sz w:val="24"/>
          <w:szCs w:val="24"/>
        </w:rPr>
        <w:t xml:space="preserve"> - (Submission of Pricing Component Data by Reporting Entities, Section 2 </w:t>
      </w:r>
      <w:r w:rsidR="00B03EAF">
        <w:rPr>
          <w:rFonts w:asciiTheme="minorHAnsi" w:hAnsiTheme="minorHAnsi" w:cs="Arial"/>
          <w:b/>
          <w:sz w:val="24"/>
          <w:szCs w:val="24"/>
        </w:rPr>
        <w:t>(C) 3</w:t>
      </w:r>
      <w:r w:rsidR="00F73C4B">
        <w:rPr>
          <w:rFonts w:asciiTheme="minorHAnsi" w:hAnsiTheme="minorHAnsi" w:cs="Arial"/>
          <w:b/>
          <w:sz w:val="24"/>
          <w:szCs w:val="24"/>
        </w:rPr>
        <w:t>)</w:t>
      </w:r>
    </w:p>
    <w:p w14:paraId="17B7E699" w14:textId="3779D14A" w:rsidR="00357FA1" w:rsidRDefault="00357FA1" w:rsidP="00636F1F">
      <w:pPr>
        <w:rPr>
          <w:rFonts w:asciiTheme="minorHAnsi" w:hAnsiTheme="minorHAnsi" w:cs="Arial"/>
          <w:sz w:val="24"/>
          <w:szCs w:val="24"/>
        </w:rPr>
      </w:pPr>
      <w:r w:rsidRPr="00357FA1">
        <w:rPr>
          <w:rFonts w:asciiTheme="minorHAnsi" w:hAnsiTheme="minorHAnsi" w:cs="Arial"/>
          <w:sz w:val="24"/>
          <w:szCs w:val="24"/>
        </w:rPr>
        <w:t xml:space="preserve">The proposed rules </w:t>
      </w:r>
      <w:r w:rsidR="00F2406B" w:rsidRPr="00357FA1">
        <w:rPr>
          <w:rFonts w:asciiTheme="minorHAnsi" w:hAnsiTheme="minorHAnsi" w:cs="Arial"/>
          <w:sz w:val="24"/>
          <w:szCs w:val="24"/>
        </w:rPr>
        <w:t>alter</w:t>
      </w:r>
      <w:r w:rsidRPr="00357FA1">
        <w:rPr>
          <w:rFonts w:asciiTheme="minorHAnsi" w:hAnsiTheme="minorHAnsi" w:cs="Arial"/>
          <w:sz w:val="24"/>
          <w:szCs w:val="24"/>
        </w:rPr>
        <w:t xml:space="preserve"> the notice date in which the MHDO will notify the PBM has been changed to an earlier time in the year.  We request that it be kept to April as there can be a lag in reporting on reconciliation between PBMs and manufacturers.  This information is crucial to be included in the report and the suggested new timeline could result in inaccurate information for the MHDO.  </w:t>
      </w:r>
    </w:p>
    <w:p w14:paraId="131BD0CF" w14:textId="2D264F6C" w:rsidR="00357FA1" w:rsidRDefault="00357FA1" w:rsidP="00636F1F">
      <w:pPr>
        <w:rPr>
          <w:rFonts w:asciiTheme="minorHAnsi" w:hAnsiTheme="minorHAnsi" w:cs="Arial"/>
          <w:sz w:val="24"/>
          <w:szCs w:val="24"/>
        </w:rPr>
      </w:pPr>
    </w:p>
    <w:p w14:paraId="4A386540" w14:textId="42A56537" w:rsidR="004E755B" w:rsidRDefault="00357FA1" w:rsidP="00636F1F">
      <w:pPr>
        <w:autoSpaceDE w:val="0"/>
        <w:autoSpaceDN w:val="0"/>
        <w:adjustRightInd w:val="0"/>
        <w:rPr>
          <w:rFonts w:asciiTheme="minorHAnsi" w:hAnsiTheme="minorHAnsi" w:cs="Arial"/>
          <w:bCs/>
          <w:sz w:val="24"/>
          <w:szCs w:val="24"/>
        </w:rPr>
      </w:pPr>
      <w:r w:rsidRPr="00CF634B">
        <w:rPr>
          <w:rFonts w:asciiTheme="minorHAnsi" w:hAnsiTheme="minorHAnsi" w:cs="Arial"/>
          <w:b/>
          <w:sz w:val="24"/>
          <w:szCs w:val="24"/>
        </w:rPr>
        <w:t xml:space="preserve">MHDO Staff Response:  </w:t>
      </w:r>
      <w:r w:rsidR="00FA7528">
        <w:rPr>
          <w:rFonts w:asciiTheme="minorHAnsi" w:hAnsiTheme="minorHAnsi" w:cs="Arial"/>
          <w:bCs/>
          <w:sz w:val="24"/>
          <w:szCs w:val="24"/>
        </w:rPr>
        <w:t xml:space="preserve">The </w:t>
      </w:r>
      <w:r w:rsidR="004E755B">
        <w:rPr>
          <w:rFonts w:asciiTheme="minorHAnsi" w:hAnsiTheme="minorHAnsi" w:cs="Arial"/>
          <w:bCs/>
          <w:sz w:val="24"/>
          <w:szCs w:val="24"/>
        </w:rPr>
        <w:t>proposed</w:t>
      </w:r>
      <w:r w:rsidR="00FA7528">
        <w:rPr>
          <w:rFonts w:asciiTheme="minorHAnsi" w:hAnsiTheme="minorHAnsi" w:cs="Arial"/>
          <w:bCs/>
          <w:sz w:val="24"/>
          <w:szCs w:val="24"/>
        </w:rPr>
        <w:t xml:space="preserve"> language in Section 2(C)(3) removes reference to dates </w:t>
      </w:r>
      <w:r w:rsidR="004D4AED">
        <w:rPr>
          <w:rFonts w:asciiTheme="minorHAnsi" w:hAnsiTheme="minorHAnsi" w:cs="Arial"/>
          <w:bCs/>
          <w:sz w:val="24"/>
          <w:szCs w:val="24"/>
        </w:rPr>
        <w:t xml:space="preserve">that applied only to the </w:t>
      </w:r>
      <w:r w:rsidR="00FA7528">
        <w:rPr>
          <w:rFonts w:asciiTheme="minorHAnsi" w:hAnsiTheme="minorHAnsi" w:cs="Arial"/>
          <w:bCs/>
          <w:sz w:val="24"/>
          <w:szCs w:val="24"/>
        </w:rPr>
        <w:t>first year</w:t>
      </w:r>
      <w:r w:rsidR="004D4AED">
        <w:rPr>
          <w:rFonts w:asciiTheme="minorHAnsi" w:hAnsiTheme="minorHAnsi" w:cs="Arial"/>
          <w:bCs/>
          <w:sz w:val="24"/>
          <w:szCs w:val="24"/>
        </w:rPr>
        <w:t xml:space="preserve"> of program implementation.  </w:t>
      </w:r>
      <w:r w:rsidR="00D54CC7">
        <w:rPr>
          <w:rFonts w:asciiTheme="minorHAnsi" w:hAnsiTheme="minorHAnsi" w:cs="Arial"/>
          <w:bCs/>
          <w:sz w:val="24"/>
          <w:szCs w:val="24"/>
        </w:rPr>
        <w:t>Rule Chapter 570 currently requires</w:t>
      </w:r>
      <w:r w:rsidR="004D4AED">
        <w:rPr>
          <w:rFonts w:asciiTheme="minorHAnsi" w:hAnsiTheme="minorHAnsi" w:cs="Arial"/>
          <w:bCs/>
          <w:sz w:val="24"/>
          <w:szCs w:val="24"/>
        </w:rPr>
        <w:t xml:space="preserve"> MHDO to notify reporting entities no later than February 15</w:t>
      </w:r>
      <w:r w:rsidR="004D4AED" w:rsidRPr="004D4AED">
        <w:rPr>
          <w:rFonts w:asciiTheme="minorHAnsi" w:hAnsiTheme="minorHAnsi" w:cs="Arial"/>
          <w:bCs/>
          <w:sz w:val="24"/>
          <w:szCs w:val="24"/>
          <w:vertAlign w:val="superscript"/>
        </w:rPr>
        <w:t>th</w:t>
      </w:r>
      <w:r w:rsidR="004D4AED">
        <w:rPr>
          <w:rFonts w:asciiTheme="minorHAnsi" w:hAnsiTheme="minorHAnsi" w:cs="Arial"/>
          <w:bCs/>
          <w:sz w:val="24"/>
          <w:szCs w:val="24"/>
        </w:rPr>
        <w:t xml:space="preserve"> of each year </w:t>
      </w:r>
      <w:r w:rsidR="004E755B">
        <w:rPr>
          <w:rFonts w:asciiTheme="minorHAnsi" w:hAnsiTheme="minorHAnsi" w:cs="Arial"/>
          <w:bCs/>
          <w:sz w:val="24"/>
          <w:szCs w:val="24"/>
        </w:rPr>
        <w:t>after April 10, 2020</w:t>
      </w:r>
      <w:r w:rsidR="004D4AED">
        <w:rPr>
          <w:rFonts w:asciiTheme="minorHAnsi" w:hAnsiTheme="minorHAnsi" w:cs="Arial"/>
          <w:bCs/>
          <w:sz w:val="24"/>
          <w:szCs w:val="24"/>
        </w:rPr>
        <w:t xml:space="preserve">.  </w:t>
      </w:r>
    </w:p>
    <w:p w14:paraId="0BAD3455" w14:textId="77777777" w:rsidR="004E755B" w:rsidRDefault="004E755B" w:rsidP="00636F1F">
      <w:pPr>
        <w:autoSpaceDE w:val="0"/>
        <w:autoSpaceDN w:val="0"/>
        <w:adjustRightInd w:val="0"/>
        <w:rPr>
          <w:rFonts w:asciiTheme="minorHAnsi" w:hAnsiTheme="minorHAnsi" w:cs="Arial"/>
          <w:bCs/>
          <w:sz w:val="24"/>
          <w:szCs w:val="24"/>
        </w:rPr>
      </w:pPr>
    </w:p>
    <w:p w14:paraId="6B5F8FDD" w14:textId="6F0345DF" w:rsidR="00357FA1" w:rsidRPr="00FA7528" w:rsidRDefault="004D4AED" w:rsidP="00636F1F">
      <w:pPr>
        <w:autoSpaceDE w:val="0"/>
        <w:autoSpaceDN w:val="0"/>
        <w:adjustRightInd w:val="0"/>
        <w:rPr>
          <w:rFonts w:asciiTheme="minorHAnsi" w:hAnsiTheme="minorHAnsi" w:cs="TimesNewRomanPSMT"/>
          <w:bCs/>
          <w:sz w:val="24"/>
          <w:szCs w:val="24"/>
        </w:rPr>
      </w:pPr>
      <w:r>
        <w:rPr>
          <w:rFonts w:asciiTheme="minorHAnsi" w:hAnsiTheme="minorHAnsi" w:cs="Arial"/>
          <w:bCs/>
          <w:sz w:val="24"/>
          <w:szCs w:val="24"/>
        </w:rPr>
        <w:t>As proposed, Section 2(C)(2) introduces notice from MHDO to reporting entities, in the form of a public posting on its website, of a list of drug product families for which it intends to request pricing component data no later than February 15</w:t>
      </w:r>
      <w:r w:rsidRPr="004D4AED">
        <w:rPr>
          <w:rFonts w:asciiTheme="minorHAnsi" w:hAnsiTheme="minorHAnsi" w:cs="Arial"/>
          <w:bCs/>
          <w:sz w:val="24"/>
          <w:szCs w:val="24"/>
          <w:vertAlign w:val="superscript"/>
        </w:rPr>
        <w:t>th</w:t>
      </w:r>
      <w:r>
        <w:rPr>
          <w:rFonts w:asciiTheme="minorHAnsi" w:hAnsiTheme="minorHAnsi" w:cs="Arial"/>
          <w:bCs/>
          <w:sz w:val="24"/>
          <w:szCs w:val="24"/>
        </w:rPr>
        <w:t>.  Section 2(C)(3)</w:t>
      </w:r>
      <w:r w:rsidR="004E755B">
        <w:rPr>
          <w:rFonts w:asciiTheme="minorHAnsi" w:hAnsiTheme="minorHAnsi" w:cs="Arial"/>
          <w:bCs/>
          <w:sz w:val="24"/>
          <w:szCs w:val="24"/>
        </w:rPr>
        <w:t xml:space="preserve"> then</w:t>
      </w:r>
      <w:r>
        <w:rPr>
          <w:rFonts w:asciiTheme="minorHAnsi" w:hAnsiTheme="minorHAnsi" w:cs="Arial"/>
          <w:bCs/>
          <w:sz w:val="24"/>
          <w:szCs w:val="24"/>
        </w:rPr>
        <w:t xml:space="preserve"> </w:t>
      </w:r>
      <w:r w:rsidR="00D54CC7">
        <w:rPr>
          <w:rFonts w:asciiTheme="minorHAnsi" w:hAnsiTheme="minorHAnsi" w:cs="Arial"/>
          <w:bCs/>
          <w:sz w:val="24"/>
          <w:szCs w:val="24"/>
        </w:rPr>
        <w:t xml:space="preserve">further </w:t>
      </w:r>
      <w:r>
        <w:rPr>
          <w:rFonts w:asciiTheme="minorHAnsi" w:hAnsiTheme="minorHAnsi" w:cs="Arial"/>
          <w:bCs/>
          <w:sz w:val="24"/>
          <w:szCs w:val="24"/>
        </w:rPr>
        <w:t xml:space="preserve">provides that MHDO may not notify reporting entities </w:t>
      </w:r>
      <w:r w:rsidR="004E755B">
        <w:rPr>
          <w:rFonts w:asciiTheme="minorHAnsi" w:hAnsiTheme="minorHAnsi" w:cs="Arial"/>
          <w:bCs/>
          <w:sz w:val="24"/>
          <w:szCs w:val="24"/>
        </w:rPr>
        <w:t>which</w:t>
      </w:r>
      <w:r>
        <w:rPr>
          <w:rFonts w:asciiTheme="minorHAnsi" w:hAnsiTheme="minorHAnsi" w:cs="Arial"/>
          <w:bCs/>
          <w:sz w:val="24"/>
          <w:szCs w:val="24"/>
        </w:rPr>
        <w:t xml:space="preserve"> are required to report until 30 days after such public posting</w:t>
      </w:r>
      <w:r w:rsidRPr="008F6BD3">
        <w:rPr>
          <w:rFonts w:asciiTheme="minorHAnsi" w:hAnsiTheme="minorHAnsi" w:cs="Arial"/>
          <w:bCs/>
          <w:sz w:val="24"/>
          <w:szCs w:val="24"/>
        </w:rPr>
        <w:t xml:space="preserve">.  </w:t>
      </w:r>
      <w:r w:rsidR="00D54CC7" w:rsidRPr="008F6BD3">
        <w:rPr>
          <w:rFonts w:asciiTheme="minorHAnsi" w:hAnsiTheme="minorHAnsi" w:cs="Arial"/>
          <w:bCs/>
          <w:sz w:val="24"/>
          <w:szCs w:val="24"/>
        </w:rPr>
        <w:t xml:space="preserve">In effect, the </w:t>
      </w:r>
      <w:r w:rsidR="004E755B" w:rsidRPr="008F6BD3">
        <w:rPr>
          <w:rFonts w:asciiTheme="minorHAnsi" w:hAnsiTheme="minorHAnsi" w:cs="Arial"/>
          <w:bCs/>
          <w:sz w:val="24"/>
          <w:szCs w:val="24"/>
        </w:rPr>
        <w:t>proposed</w:t>
      </w:r>
      <w:r w:rsidRPr="008F6BD3">
        <w:rPr>
          <w:rFonts w:asciiTheme="minorHAnsi" w:hAnsiTheme="minorHAnsi" w:cs="Arial"/>
          <w:bCs/>
          <w:sz w:val="24"/>
          <w:szCs w:val="24"/>
        </w:rPr>
        <w:t xml:space="preserve"> language </w:t>
      </w:r>
      <w:r w:rsidR="005621BE" w:rsidRPr="008F6BD3">
        <w:rPr>
          <w:rFonts w:asciiTheme="minorHAnsi" w:hAnsiTheme="minorHAnsi" w:cs="Arial"/>
          <w:bCs/>
          <w:sz w:val="24"/>
          <w:szCs w:val="24"/>
        </w:rPr>
        <w:t>gives the reporting entities an extra 30 days to prepare their data.</w:t>
      </w:r>
    </w:p>
    <w:p w14:paraId="4C1F013A" w14:textId="77777777" w:rsidR="00357FA1" w:rsidRPr="00CF634B" w:rsidRDefault="00357FA1" w:rsidP="00636F1F">
      <w:pPr>
        <w:rPr>
          <w:rFonts w:asciiTheme="minorHAnsi" w:hAnsiTheme="minorHAnsi" w:cs="Arial"/>
          <w:b/>
          <w:sz w:val="24"/>
          <w:szCs w:val="24"/>
        </w:rPr>
      </w:pPr>
    </w:p>
    <w:p w14:paraId="5C7EF64B" w14:textId="73ACC7B8" w:rsidR="00357FA1" w:rsidRPr="00D54CC7" w:rsidRDefault="00357FA1" w:rsidP="00636F1F">
      <w:pPr>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DD783C">
        <w:rPr>
          <w:rFonts w:asciiTheme="minorHAnsi" w:hAnsiTheme="minorHAnsi" w:cs="Arial"/>
          <w:bCs/>
          <w:sz w:val="24"/>
          <w:szCs w:val="24"/>
        </w:rPr>
        <w:t>Approve the proposed change</w:t>
      </w:r>
      <w:r w:rsidR="00D54CC7">
        <w:rPr>
          <w:rFonts w:asciiTheme="minorHAnsi" w:hAnsiTheme="minorHAnsi" w:cs="Arial"/>
          <w:bCs/>
          <w:sz w:val="24"/>
          <w:szCs w:val="24"/>
        </w:rPr>
        <w:t>.</w:t>
      </w:r>
    </w:p>
    <w:p w14:paraId="462A6123" w14:textId="77777777" w:rsidR="00DD783C" w:rsidRDefault="00DD783C" w:rsidP="00636F1F">
      <w:pPr>
        <w:rPr>
          <w:rFonts w:asciiTheme="minorHAnsi" w:hAnsiTheme="minorHAnsi" w:cs="Arial"/>
          <w:b/>
          <w:sz w:val="24"/>
          <w:szCs w:val="24"/>
        </w:rPr>
      </w:pPr>
    </w:p>
    <w:p w14:paraId="3E1A8612" w14:textId="6EF19D3F" w:rsidR="002C70E5" w:rsidRDefault="00357FA1" w:rsidP="00636F1F">
      <w:pPr>
        <w:rPr>
          <w:rFonts w:asciiTheme="minorHAnsi" w:hAnsiTheme="minorHAnsi" w:cs="Arial"/>
          <w:sz w:val="24"/>
          <w:szCs w:val="24"/>
        </w:rPr>
      </w:pPr>
      <w:r w:rsidRPr="00357FA1">
        <w:rPr>
          <w:rFonts w:asciiTheme="minorHAnsi" w:hAnsiTheme="minorHAnsi" w:cs="Arial"/>
          <w:b/>
          <w:sz w:val="24"/>
          <w:szCs w:val="24"/>
        </w:rPr>
        <w:t>Comment 3</w:t>
      </w:r>
      <w:r>
        <w:rPr>
          <w:rFonts w:asciiTheme="minorHAnsi" w:hAnsiTheme="minorHAnsi" w:cs="Arial"/>
          <w:sz w:val="24"/>
          <w:szCs w:val="24"/>
        </w:rPr>
        <w:t xml:space="preserve"> </w:t>
      </w:r>
      <w:r w:rsidR="002C70E5">
        <w:rPr>
          <w:rFonts w:asciiTheme="minorHAnsi" w:hAnsiTheme="minorHAnsi" w:cs="Arial"/>
          <w:sz w:val="24"/>
          <w:szCs w:val="24"/>
        </w:rPr>
        <w:t>–</w:t>
      </w:r>
      <w:r>
        <w:rPr>
          <w:rFonts w:asciiTheme="minorHAnsi" w:hAnsiTheme="minorHAnsi" w:cs="Arial"/>
          <w:sz w:val="24"/>
          <w:szCs w:val="24"/>
        </w:rPr>
        <w:t xml:space="preserve"> </w:t>
      </w:r>
      <w:r w:rsidR="007A7873">
        <w:rPr>
          <w:rFonts w:asciiTheme="minorHAnsi" w:hAnsiTheme="minorHAnsi" w:cs="Arial"/>
          <w:sz w:val="24"/>
          <w:szCs w:val="24"/>
        </w:rPr>
        <w:t>(</w:t>
      </w:r>
      <w:r w:rsidR="002C70E5" w:rsidRPr="002C70E5">
        <w:rPr>
          <w:rFonts w:asciiTheme="minorHAnsi" w:hAnsiTheme="minorHAnsi" w:cs="Arial"/>
          <w:b/>
          <w:sz w:val="24"/>
          <w:szCs w:val="24"/>
        </w:rPr>
        <w:t>Confidentiality</w:t>
      </w:r>
      <w:r w:rsidR="007A7873">
        <w:rPr>
          <w:rFonts w:asciiTheme="minorHAnsi" w:hAnsiTheme="minorHAnsi" w:cs="Arial"/>
          <w:b/>
          <w:sz w:val="24"/>
          <w:szCs w:val="24"/>
        </w:rPr>
        <w:t xml:space="preserve">, </w:t>
      </w:r>
      <w:r w:rsidR="002C70E5" w:rsidRPr="002C70E5">
        <w:rPr>
          <w:rFonts w:asciiTheme="minorHAnsi" w:hAnsiTheme="minorHAnsi" w:cs="Arial"/>
          <w:b/>
          <w:sz w:val="24"/>
          <w:szCs w:val="24"/>
        </w:rPr>
        <w:t>Section 6)</w:t>
      </w:r>
    </w:p>
    <w:p w14:paraId="5558F727" w14:textId="7B2B103A" w:rsidR="00357FA1" w:rsidRPr="00CF634B" w:rsidRDefault="00357FA1" w:rsidP="00636F1F">
      <w:pPr>
        <w:rPr>
          <w:rFonts w:asciiTheme="minorHAnsi" w:hAnsiTheme="minorHAnsi" w:cs="Arial"/>
          <w:sz w:val="24"/>
          <w:szCs w:val="24"/>
        </w:rPr>
      </w:pPr>
      <w:r w:rsidRPr="00357FA1">
        <w:rPr>
          <w:rFonts w:asciiTheme="minorHAnsi" w:hAnsiTheme="minorHAnsi" w:cs="Arial"/>
          <w:sz w:val="24"/>
          <w:szCs w:val="24"/>
        </w:rPr>
        <w:t>Under the rule, the MHDO is seeking to obtain proprietary and/or trade secret information, such as drug specific rebate information and reimbursement amounts to pharmacies. We remain concerned with the broad authority in the rule and the authorizing statute that permits the sharing of information among government agencies, which have different sets of confidentiality rules and rules around exemptions from public disclosure. Based on this, PCMA requests that reporting entities be notified in advance if such data is going to be shared with other agencies.</w:t>
      </w:r>
    </w:p>
    <w:p w14:paraId="2F694B30" w14:textId="77777777" w:rsidR="007C4960" w:rsidRPr="00CF634B" w:rsidRDefault="007C4960" w:rsidP="00376DC5">
      <w:pPr>
        <w:ind w:left="360"/>
        <w:rPr>
          <w:rFonts w:asciiTheme="minorHAnsi" w:hAnsiTheme="minorHAnsi" w:cs="Arial"/>
          <w:sz w:val="24"/>
          <w:szCs w:val="24"/>
        </w:rPr>
      </w:pPr>
    </w:p>
    <w:p w14:paraId="6E769248" w14:textId="1827E632" w:rsidR="00017FBF" w:rsidRPr="006E15C5" w:rsidRDefault="00E5428E" w:rsidP="00BD7AAC">
      <w:pPr>
        <w:rPr>
          <w:rFonts w:asciiTheme="minorHAnsi" w:hAnsiTheme="minorHAnsi" w:cstheme="minorHAnsi"/>
          <w:bCs/>
          <w:sz w:val="24"/>
          <w:szCs w:val="24"/>
        </w:rPr>
      </w:pPr>
      <w:r w:rsidRPr="00CF634B">
        <w:rPr>
          <w:rFonts w:asciiTheme="minorHAnsi" w:hAnsiTheme="minorHAnsi" w:cs="Arial"/>
          <w:b/>
          <w:sz w:val="24"/>
          <w:szCs w:val="24"/>
        </w:rPr>
        <w:t xml:space="preserve">MHDO </w:t>
      </w:r>
      <w:r w:rsidR="00023874" w:rsidRPr="00CF634B">
        <w:rPr>
          <w:rFonts w:asciiTheme="minorHAnsi" w:hAnsiTheme="minorHAnsi" w:cs="Arial"/>
          <w:b/>
          <w:sz w:val="24"/>
          <w:szCs w:val="24"/>
        </w:rPr>
        <w:t xml:space="preserve">Staff </w:t>
      </w:r>
      <w:r w:rsidRPr="00CF634B">
        <w:rPr>
          <w:rFonts w:asciiTheme="minorHAnsi" w:hAnsiTheme="minorHAnsi" w:cs="Arial"/>
          <w:b/>
          <w:sz w:val="24"/>
          <w:szCs w:val="24"/>
        </w:rPr>
        <w:t>Response</w:t>
      </w:r>
      <w:r w:rsidR="007C4960" w:rsidRPr="00CF634B">
        <w:rPr>
          <w:rFonts w:asciiTheme="minorHAnsi" w:hAnsiTheme="minorHAnsi" w:cs="Arial"/>
          <w:b/>
          <w:sz w:val="24"/>
          <w:szCs w:val="24"/>
        </w:rPr>
        <w:t xml:space="preserve">:  </w:t>
      </w:r>
      <w:r w:rsidR="00512881" w:rsidRPr="008B399D">
        <w:rPr>
          <w:rFonts w:asciiTheme="minorHAnsi" w:hAnsiTheme="minorHAnsi" w:cs="Arial"/>
          <w:bCs/>
          <w:sz w:val="24"/>
          <w:szCs w:val="24"/>
        </w:rPr>
        <w:t xml:space="preserve">The proposed </w:t>
      </w:r>
      <w:r w:rsidR="00803CD8">
        <w:rPr>
          <w:rFonts w:asciiTheme="minorHAnsi" w:hAnsiTheme="minorHAnsi" w:cs="Arial"/>
          <w:bCs/>
          <w:sz w:val="24"/>
          <w:szCs w:val="24"/>
        </w:rPr>
        <w:t>r</w:t>
      </w:r>
      <w:r w:rsidR="00512881" w:rsidRPr="008B399D">
        <w:rPr>
          <w:rFonts w:asciiTheme="minorHAnsi" w:hAnsiTheme="minorHAnsi" w:cs="Arial"/>
          <w:bCs/>
          <w:sz w:val="24"/>
          <w:szCs w:val="24"/>
        </w:rPr>
        <w:t xml:space="preserve">ule does not contemplate changes to Section </w:t>
      </w:r>
      <w:r w:rsidR="00512881">
        <w:rPr>
          <w:rFonts w:asciiTheme="minorHAnsi" w:hAnsiTheme="minorHAnsi" w:cs="Arial"/>
          <w:bCs/>
          <w:sz w:val="24"/>
          <w:szCs w:val="24"/>
        </w:rPr>
        <w:t>6</w:t>
      </w:r>
      <w:r w:rsidR="00512881" w:rsidRPr="008B399D">
        <w:rPr>
          <w:rFonts w:asciiTheme="minorHAnsi" w:hAnsiTheme="minorHAnsi" w:cs="Arial"/>
          <w:bCs/>
          <w:sz w:val="24"/>
          <w:szCs w:val="24"/>
        </w:rPr>
        <w:t xml:space="preserve"> which became effective February 4, 2020</w:t>
      </w:r>
      <w:r w:rsidR="00512881">
        <w:rPr>
          <w:rFonts w:asciiTheme="minorHAnsi" w:hAnsiTheme="minorHAnsi" w:cs="Arial"/>
          <w:bCs/>
          <w:sz w:val="24"/>
          <w:szCs w:val="24"/>
        </w:rPr>
        <w:t xml:space="preserve">.  </w:t>
      </w:r>
      <w:r w:rsidR="005A3098">
        <w:rPr>
          <w:rFonts w:asciiTheme="minorHAnsi" w:hAnsiTheme="minorHAnsi" w:cs="Arial"/>
          <w:bCs/>
          <w:sz w:val="24"/>
          <w:szCs w:val="24"/>
        </w:rPr>
        <w:t xml:space="preserve">However, </w:t>
      </w:r>
      <w:r w:rsidR="006E15C5">
        <w:rPr>
          <w:rFonts w:asciiTheme="minorHAnsi" w:hAnsiTheme="minorHAnsi" w:cs="Arial"/>
          <w:bCs/>
          <w:sz w:val="24"/>
          <w:szCs w:val="24"/>
        </w:rPr>
        <w:t>add</w:t>
      </w:r>
      <w:r w:rsidR="005A3098">
        <w:rPr>
          <w:rFonts w:asciiTheme="minorHAnsi" w:hAnsiTheme="minorHAnsi" w:cs="Arial"/>
          <w:bCs/>
          <w:sz w:val="24"/>
          <w:szCs w:val="24"/>
        </w:rPr>
        <w:t>ing</w:t>
      </w:r>
      <w:r w:rsidR="006E15C5">
        <w:rPr>
          <w:rFonts w:asciiTheme="minorHAnsi" w:hAnsiTheme="minorHAnsi" w:cs="Arial"/>
          <w:bCs/>
          <w:sz w:val="24"/>
          <w:szCs w:val="24"/>
        </w:rPr>
        <w:t xml:space="preserve"> language to Rule Chapter 570 requiring notice to reporting entities prior to sharing data with the Department of Professional and Financial Regulation, Bureau of Insurance</w:t>
      </w:r>
      <w:r w:rsidR="005A3098">
        <w:rPr>
          <w:rFonts w:asciiTheme="minorHAnsi" w:hAnsiTheme="minorHAnsi" w:cs="Arial"/>
          <w:bCs/>
          <w:sz w:val="24"/>
          <w:szCs w:val="24"/>
        </w:rPr>
        <w:t xml:space="preserve"> is not a substantive change and therefore our recommendation is to do so</w:t>
      </w:r>
      <w:r w:rsidR="006E15C5">
        <w:rPr>
          <w:rFonts w:asciiTheme="minorHAnsi" w:hAnsiTheme="minorHAnsi" w:cs="Arial"/>
          <w:bCs/>
          <w:sz w:val="24"/>
          <w:szCs w:val="24"/>
        </w:rPr>
        <w:t>.</w:t>
      </w:r>
    </w:p>
    <w:p w14:paraId="55D6CC31" w14:textId="77777777" w:rsidR="00017FBF" w:rsidRDefault="00017FBF" w:rsidP="00017FBF">
      <w:pPr>
        <w:rPr>
          <w:rFonts w:asciiTheme="minorHAnsi" w:hAnsiTheme="minorHAnsi" w:cstheme="minorHAnsi"/>
          <w:b/>
          <w:sz w:val="24"/>
          <w:szCs w:val="24"/>
        </w:rPr>
      </w:pPr>
    </w:p>
    <w:p w14:paraId="2C644D57" w14:textId="2F059802" w:rsidR="00017FBF" w:rsidRDefault="00017FBF" w:rsidP="00017FBF">
      <w:pPr>
        <w:rPr>
          <w:rFonts w:asciiTheme="minorHAnsi" w:hAnsiTheme="minorHAnsi" w:cstheme="minorHAnsi"/>
          <w:color w:val="000000"/>
          <w:sz w:val="24"/>
          <w:szCs w:val="24"/>
        </w:rPr>
      </w:pPr>
      <w:r>
        <w:rPr>
          <w:rFonts w:asciiTheme="minorHAnsi" w:hAnsiTheme="minorHAnsi" w:cstheme="minorHAnsi"/>
          <w:b/>
          <w:sz w:val="24"/>
          <w:szCs w:val="24"/>
        </w:rPr>
        <w:t xml:space="preserve">Recommended Board Action: </w:t>
      </w:r>
      <w:r>
        <w:rPr>
          <w:rFonts w:asciiTheme="minorHAnsi" w:hAnsiTheme="minorHAnsi" w:cstheme="minorHAnsi"/>
          <w:color w:val="000000"/>
          <w:sz w:val="24"/>
          <w:szCs w:val="24"/>
        </w:rPr>
        <w:t xml:space="preserve"> </w:t>
      </w:r>
      <w:r w:rsidR="001803A4">
        <w:rPr>
          <w:rFonts w:asciiTheme="minorHAnsi" w:hAnsiTheme="minorHAnsi" w:cstheme="minorHAnsi"/>
          <w:color w:val="000000"/>
          <w:sz w:val="24"/>
          <w:szCs w:val="24"/>
        </w:rPr>
        <w:t>Amend Section 6(A) as follows:</w:t>
      </w:r>
    </w:p>
    <w:p w14:paraId="04A55F3E" w14:textId="5743912F" w:rsidR="001803A4" w:rsidRDefault="001803A4" w:rsidP="00017FBF">
      <w:pPr>
        <w:rPr>
          <w:rFonts w:asciiTheme="minorHAnsi" w:hAnsiTheme="minorHAnsi" w:cstheme="minorHAnsi"/>
          <w:sz w:val="24"/>
          <w:szCs w:val="24"/>
        </w:rPr>
      </w:pPr>
    </w:p>
    <w:p w14:paraId="562592BD" w14:textId="5C13BDC5" w:rsidR="001803A4" w:rsidRPr="001803A4" w:rsidRDefault="001803A4" w:rsidP="001803A4">
      <w:pPr>
        <w:ind w:left="720"/>
      </w:pPr>
      <w:r>
        <w:rPr>
          <w:rFonts w:asciiTheme="minorHAnsi" w:hAnsiTheme="minorHAnsi" w:cstheme="minorHAnsi"/>
          <w:b/>
          <w:bCs/>
          <w:sz w:val="24"/>
          <w:szCs w:val="24"/>
        </w:rPr>
        <w:t xml:space="preserve">Bureau of Insurance.   </w:t>
      </w:r>
      <w:r>
        <w:rPr>
          <w:rFonts w:asciiTheme="minorHAnsi" w:hAnsiTheme="minorHAnsi" w:cstheme="minorHAnsi"/>
          <w:sz w:val="24"/>
          <w:szCs w:val="24"/>
        </w:rPr>
        <w:t xml:space="preserve">With the Department of Professional and Financial Regulation, Bureau of Insurance, to the extent necessary for the bureau to enforce the provisions of Title 24-A, as long as </w:t>
      </w:r>
      <w:r>
        <w:rPr>
          <w:rFonts w:asciiTheme="minorHAnsi" w:hAnsiTheme="minorHAnsi" w:cstheme="minorHAnsi"/>
          <w:sz w:val="24"/>
          <w:szCs w:val="24"/>
          <w:u w:val="single"/>
        </w:rPr>
        <w:t>prior notice is provided to reporting entities that information will be shared, and</w:t>
      </w:r>
      <w:r>
        <w:rPr>
          <w:rFonts w:asciiTheme="minorHAnsi" w:hAnsiTheme="minorHAnsi" w:cstheme="minorHAnsi"/>
          <w:sz w:val="24"/>
          <w:szCs w:val="24"/>
        </w:rPr>
        <w:t xml:space="preserve"> any information shared is kept confidential; and</w:t>
      </w:r>
    </w:p>
    <w:p w14:paraId="12FE7CB4" w14:textId="4802D14B" w:rsidR="00376DC5" w:rsidRDefault="00376DC5" w:rsidP="00B42ED6">
      <w:pPr>
        <w:rPr>
          <w:rFonts w:asciiTheme="minorHAnsi" w:hAnsiTheme="minorHAnsi" w:cs="Arial"/>
          <w:b/>
          <w:sz w:val="24"/>
          <w:szCs w:val="24"/>
        </w:rPr>
      </w:pPr>
    </w:p>
    <w:p w14:paraId="2F240429" w14:textId="61568EB8" w:rsidR="00376DC5" w:rsidRPr="00A748FA" w:rsidRDefault="002C70E5" w:rsidP="00376DC5">
      <w:pPr>
        <w:pStyle w:val="ListParagraph"/>
        <w:numPr>
          <w:ilvl w:val="0"/>
          <w:numId w:val="7"/>
        </w:numPr>
        <w:rPr>
          <w:rFonts w:asciiTheme="minorHAnsi" w:hAnsiTheme="minorHAnsi" w:cs="Arial"/>
          <w:sz w:val="24"/>
          <w:szCs w:val="24"/>
        </w:rPr>
      </w:pPr>
      <w:r>
        <w:rPr>
          <w:rFonts w:asciiTheme="minorHAnsi" w:hAnsiTheme="minorHAnsi" w:cs="Arial"/>
          <w:b/>
          <w:sz w:val="24"/>
          <w:szCs w:val="24"/>
        </w:rPr>
        <w:t>Healthcare Distribution Alliance (HD</w:t>
      </w:r>
      <w:r w:rsidR="002D4821">
        <w:rPr>
          <w:rFonts w:asciiTheme="minorHAnsi" w:hAnsiTheme="minorHAnsi" w:cs="Arial"/>
          <w:b/>
          <w:sz w:val="24"/>
          <w:szCs w:val="24"/>
        </w:rPr>
        <w:t>A</w:t>
      </w:r>
      <w:r>
        <w:rPr>
          <w:rFonts w:asciiTheme="minorHAnsi" w:hAnsiTheme="minorHAnsi" w:cs="Arial"/>
          <w:b/>
          <w:sz w:val="24"/>
          <w:szCs w:val="24"/>
        </w:rPr>
        <w:t>)</w:t>
      </w:r>
      <w:r w:rsidR="00A748FA">
        <w:rPr>
          <w:rFonts w:asciiTheme="minorHAnsi" w:hAnsiTheme="minorHAnsi" w:cs="Arial"/>
          <w:b/>
          <w:sz w:val="24"/>
          <w:szCs w:val="24"/>
        </w:rPr>
        <w:t xml:space="preserve"> </w:t>
      </w:r>
      <w:r w:rsidR="00A748FA" w:rsidRPr="00A748FA">
        <w:rPr>
          <w:rFonts w:asciiTheme="minorHAnsi" w:hAnsiTheme="minorHAnsi" w:cs="Arial"/>
          <w:sz w:val="24"/>
          <w:szCs w:val="24"/>
        </w:rPr>
        <w:t>submitted the following comments:</w:t>
      </w:r>
    </w:p>
    <w:p w14:paraId="07E2153E" w14:textId="74A0A0A2" w:rsidR="00376DC5" w:rsidRDefault="00376DC5" w:rsidP="00636F1F">
      <w:pPr>
        <w:rPr>
          <w:rFonts w:asciiTheme="minorHAnsi" w:hAnsiTheme="minorHAnsi" w:cs="Arial"/>
          <w:b/>
          <w:sz w:val="24"/>
          <w:szCs w:val="24"/>
        </w:rPr>
      </w:pPr>
      <w:r w:rsidRPr="00376DC5">
        <w:rPr>
          <w:rFonts w:asciiTheme="minorHAnsi" w:hAnsiTheme="minorHAnsi" w:cs="Arial"/>
          <w:b/>
          <w:sz w:val="24"/>
          <w:szCs w:val="24"/>
        </w:rPr>
        <w:t>Comment</w:t>
      </w:r>
      <w:r w:rsidR="00A748FA">
        <w:rPr>
          <w:rFonts w:asciiTheme="minorHAnsi" w:hAnsiTheme="minorHAnsi" w:cs="Arial"/>
          <w:b/>
          <w:sz w:val="24"/>
          <w:szCs w:val="24"/>
        </w:rPr>
        <w:t xml:space="preserve"> 1</w:t>
      </w:r>
      <w:r w:rsidRPr="00376DC5">
        <w:rPr>
          <w:rFonts w:asciiTheme="minorHAnsi" w:hAnsiTheme="minorHAnsi" w:cs="Arial"/>
          <w:b/>
          <w:sz w:val="24"/>
          <w:szCs w:val="24"/>
        </w:rPr>
        <w:t xml:space="preserve"> – (</w:t>
      </w:r>
      <w:r w:rsidR="00A748FA">
        <w:rPr>
          <w:rFonts w:asciiTheme="minorHAnsi" w:hAnsiTheme="minorHAnsi" w:cs="Arial"/>
          <w:b/>
          <w:sz w:val="24"/>
          <w:szCs w:val="24"/>
        </w:rPr>
        <w:t>Definitions</w:t>
      </w:r>
      <w:r w:rsidR="004613C7">
        <w:rPr>
          <w:rFonts w:asciiTheme="minorHAnsi" w:hAnsiTheme="minorHAnsi" w:cs="Arial"/>
          <w:b/>
          <w:sz w:val="24"/>
          <w:szCs w:val="24"/>
        </w:rPr>
        <w:t>, Section 1</w:t>
      </w:r>
      <w:r w:rsidR="008A419E">
        <w:rPr>
          <w:rFonts w:asciiTheme="minorHAnsi" w:hAnsiTheme="minorHAnsi" w:cs="Arial"/>
          <w:b/>
          <w:sz w:val="24"/>
          <w:szCs w:val="24"/>
        </w:rPr>
        <w:t>(F)</w:t>
      </w:r>
      <w:r w:rsidR="00A748FA">
        <w:rPr>
          <w:rFonts w:asciiTheme="minorHAnsi" w:hAnsiTheme="minorHAnsi" w:cs="Arial"/>
          <w:b/>
          <w:sz w:val="24"/>
          <w:szCs w:val="24"/>
        </w:rPr>
        <w:t>)</w:t>
      </w:r>
    </w:p>
    <w:p w14:paraId="38943282" w14:textId="0C2D1DAF" w:rsidR="00A748FA" w:rsidRPr="00A748FA" w:rsidRDefault="00A748FA" w:rsidP="00636F1F">
      <w:pPr>
        <w:rPr>
          <w:rFonts w:asciiTheme="minorHAnsi" w:hAnsiTheme="minorHAnsi" w:cs="Arial"/>
          <w:sz w:val="24"/>
          <w:szCs w:val="24"/>
        </w:rPr>
      </w:pPr>
      <w:r w:rsidRPr="00A748FA">
        <w:rPr>
          <w:rFonts w:asciiTheme="minorHAnsi" w:hAnsiTheme="minorHAnsi" w:cs="Arial"/>
          <w:sz w:val="24"/>
          <w:szCs w:val="24"/>
        </w:rPr>
        <w:t xml:space="preserve">Section 1.(F): “Manufacturer is defined as “an entity that manufactures or repackages, and sets the wholesale acquisition cost for, prescription drugs that are distributed in the State.” </w:t>
      </w:r>
    </w:p>
    <w:p w14:paraId="28626A03" w14:textId="77777777" w:rsidR="00A748FA" w:rsidRPr="00A748FA" w:rsidRDefault="00A748FA" w:rsidP="00636F1F">
      <w:pPr>
        <w:rPr>
          <w:rFonts w:asciiTheme="minorHAnsi" w:hAnsiTheme="minorHAnsi" w:cs="Arial"/>
          <w:sz w:val="24"/>
          <w:szCs w:val="24"/>
        </w:rPr>
      </w:pPr>
      <w:r w:rsidRPr="00A748FA">
        <w:rPr>
          <w:rFonts w:asciiTheme="minorHAnsi" w:hAnsiTheme="minorHAnsi" w:cs="Arial"/>
          <w:sz w:val="24"/>
          <w:szCs w:val="24"/>
        </w:rPr>
        <w:t xml:space="preserve"> </w:t>
      </w:r>
    </w:p>
    <w:p w14:paraId="75F17BE3" w14:textId="39D86903" w:rsidR="00A748FA" w:rsidRDefault="00A748FA" w:rsidP="00636F1F">
      <w:pPr>
        <w:rPr>
          <w:rFonts w:asciiTheme="minorHAnsi" w:hAnsiTheme="minorHAnsi" w:cs="Arial"/>
          <w:sz w:val="24"/>
          <w:szCs w:val="24"/>
        </w:rPr>
      </w:pPr>
      <w:r w:rsidRPr="00A748FA">
        <w:rPr>
          <w:rFonts w:asciiTheme="minorHAnsi" w:hAnsiTheme="minorHAnsi" w:cs="Arial"/>
          <w:sz w:val="24"/>
          <w:szCs w:val="24"/>
        </w:rPr>
        <w:t xml:space="preserve">HDA respectfully requests MHDO strike any reference to repackagers from the definition of manufacturer. States throughout the country recognize the many differences between a drug manufacturer and repackager. For example, New Hampshire’s definition of manufacturer in their recently-passed legislation aimed at collecting drug pricing data, HB 1280, specifically excludes a repackager. It is imperative to note that including repackager threatens the accuracy and quality of data. </w:t>
      </w:r>
    </w:p>
    <w:p w14:paraId="2FDB6AEC" w14:textId="77777777" w:rsidR="008A419E" w:rsidRDefault="008A419E" w:rsidP="008A419E">
      <w:pPr>
        <w:spacing w:before="1"/>
        <w:rPr>
          <w:rFonts w:asciiTheme="minorHAnsi" w:eastAsia="Arial" w:hAnsiTheme="minorHAnsi" w:cs="Arial"/>
          <w:sz w:val="24"/>
          <w:szCs w:val="24"/>
        </w:rPr>
      </w:pPr>
    </w:p>
    <w:p w14:paraId="0FA1B2C2" w14:textId="299203FA" w:rsidR="008A419E" w:rsidRPr="008A419E" w:rsidRDefault="008A419E" w:rsidP="008A419E">
      <w:pPr>
        <w:autoSpaceDE w:val="0"/>
        <w:autoSpaceDN w:val="0"/>
        <w:adjustRightInd w:val="0"/>
        <w:rPr>
          <w:rFonts w:asciiTheme="minorHAnsi" w:hAnsiTheme="minorHAnsi" w:cs="TimesNewRomanPSMT"/>
          <w:bCs/>
          <w:sz w:val="24"/>
          <w:szCs w:val="24"/>
        </w:rPr>
      </w:pPr>
      <w:r w:rsidRPr="00CF634B">
        <w:rPr>
          <w:rFonts w:asciiTheme="minorHAnsi" w:hAnsiTheme="minorHAnsi" w:cs="Arial"/>
          <w:b/>
          <w:sz w:val="24"/>
          <w:szCs w:val="24"/>
        </w:rPr>
        <w:t xml:space="preserve">MHDO Staff Response:  </w:t>
      </w:r>
      <w:r>
        <w:rPr>
          <w:rFonts w:asciiTheme="minorHAnsi" w:hAnsiTheme="minorHAnsi" w:cs="Arial"/>
          <w:bCs/>
          <w:sz w:val="24"/>
          <w:szCs w:val="24"/>
        </w:rPr>
        <w:t xml:space="preserve">MHDO has an interest in understanding the impact of competitive pricing for multiple source prescription drug products within a drug product family.  </w:t>
      </w:r>
      <w:r w:rsidR="007F3B69">
        <w:rPr>
          <w:rFonts w:asciiTheme="minorHAnsi" w:hAnsiTheme="minorHAnsi" w:cs="Arial"/>
          <w:bCs/>
          <w:sz w:val="24"/>
          <w:szCs w:val="24"/>
        </w:rPr>
        <w:t>E</w:t>
      </w:r>
      <w:r>
        <w:rPr>
          <w:rFonts w:asciiTheme="minorHAnsi" w:hAnsiTheme="minorHAnsi" w:cs="Arial"/>
          <w:bCs/>
          <w:sz w:val="24"/>
          <w:szCs w:val="24"/>
        </w:rPr>
        <w:t xml:space="preserve">xcluding </w:t>
      </w:r>
      <w:r w:rsidR="007F3B69">
        <w:rPr>
          <w:rFonts w:asciiTheme="minorHAnsi" w:hAnsiTheme="minorHAnsi" w:cs="Arial"/>
          <w:bCs/>
          <w:sz w:val="24"/>
          <w:szCs w:val="24"/>
        </w:rPr>
        <w:t>repackagers from the definition of a manufacturer</w:t>
      </w:r>
      <w:r>
        <w:rPr>
          <w:rFonts w:asciiTheme="minorHAnsi" w:hAnsiTheme="minorHAnsi" w:cs="Arial"/>
          <w:bCs/>
          <w:sz w:val="24"/>
          <w:szCs w:val="24"/>
        </w:rPr>
        <w:t xml:space="preserve"> </w:t>
      </w:r>
      <w:r w:rsidR="007F3B69">
        <w:rPr>
          <w:rFonts w:asciiTheme="minorHAnsi" w:hAnsiTheme="minorHAnsi" w:cs="Arial"/>
          <w:bCs/>
          <w:sz w:val="24"/>
          <w:szCs w:val="24"/>
        </w:rPr>
        <w:t>precludes MHDO from performing an accurate analysis of both market share and cost influence of repackaged products in the State.</w:t>
      </w:r>
    </w:p>
    <w:p w14:paraId="495379D8" w14:textId="77777777" w:rsidR="008A419E" w:rsidRPr="00CF634B" w:rsidRDefault="008A419E" w:rsidP="008A419E">
      <w:pPr>
        <w:rPr>
          <w:rFonts w:asciiTheme="minorHAnsi" w:hAnsiTheme="minorHAnsi" w:cs="Arial"/>
          <w:b/>
          <w:sz w:val="24"/>
          <w:szCs w:val="24"/>
        </w:rPr>
      </w:pPr>
    </w:p>
    <w:p w14:paraId="2276243E" w14:textId="2002F906" w:rsidR="008A419E" w:rsidRDefault="008A419E" w:rsidP="008A419E">
      <w:pPr>
        <w:rPr>
          <w:rFonts w:asciiTheme="minorHAnsi" w:hAnsiTheme="minorHAnsi" w:cs="Arial"/>
          <w:b/>
          <w:sz w:val="24"/>
          <w:szCs w:val="24"/>
        </w:rPr>
      </w:pPr>
      <w:r w:rsidRPr="00CF634B">
        <w:rPr>
          <w:rFonts w:asciiTheme="minorHAnsi" w:hAnsiTheme="minorHAnsi" w:cs="Arial"/>
          <w:b/>
          <w:sz w:val="24"/>
          <w:szCs w:val="24"/>
        </w:rPr>
        <w:t xml:space="preserve">Recommended Board Action:  </w:t>
      </w:r>
      <w:r w:rsidR="00DD783C">
        <w:rPr>
          <w:rFonts w:asciiTheme="minorHAnsi" w:hAnsiTheme="minorHAnsi" w:cs="Arial"/>
          <w:bCs/>
          <w:sz w:val="24"/>
          <w:szCs w:val="24"/>
        </w:rPr>
        <w:t>Approve the proposed change</w:t>
      </w:r>
      <w:r w:rsidR="007F3B69">
        <w:rPr>
          <w:rFonts w:asciiTheme="minorHAnsi" w:hAnsiTheme="minorHAnsi" w:cs="Arial"/>
          <w:bCs/>
          <w:sz w:val="24"/>
          <w:szCs w:val="24"/>
        </w:rPr>
        <w:t>.</w:t>
      </w:r>
    </w:p>
    <w:p w14:paraId="3E4178E6" w14:textId="29593105" w:rsidR="00A748FA" w:rsidRDefault="00A748FA" w:rsidP="00636F1F">
      <w:pPr>
        <w:rPr>
          <w:rFonts w:asciiTheme="minorHAnsi" w:hAnsiTheme="minorHAnsi" w:cs="Arial"/>
          <w:sz w:val="24"/>
          <w:szCs w:val="24"/>
        </w:rPr>
      </w:pPr>
    </w:p>
    <w:p w14:paraId="2EE08232" w14:textId="77777777" w:rsidR="004E755B" w:rsidRDefault="004E755B" w:rsidP="008A419E">
      <w:pPr>
        <w:rPr>
          <w:rFonts w:asciiTheme="minorHAnsi" w:hAnsiTheme="minorHAnsi" w:cs="Arial"/>
          <w:b/>
          <w:sz w:val="24"/>
          <w:szCs w:val="24"/>
        </w:rPr>
      </w:pPr>
    </w:p>
    <w:p w14:paraId="414CDD8C" w14:textId="3C0F37E8" w:rsidR="008A419E" w:rsidRDefault="008A419E" w:rsidP="008A419E">
      <w:pPr>
        <w:rPr>
          <w:rFonts w:asciiTheme="minorHAnsi" w:hAnsiTheme="minorHAnsi" w:cs="Arial"/>
          <w:b/>
          <w:sz w:val="24"/>
          <w:szCs w:val="24"/>
        </w:rPr>
      </w:pPr>
      <w:r w:rsidRPr="00376DC5">
        <w:rPr>
          <w:rFonts w:asciiTheme="minorHAnsi" w:hAnsiTheme="minorHAnsi" w:cs="Arial"/>
          <w:b/>
          <w:sz w:val="24"/>
          <w:szCs w:val="24"/>
        </w:rPr>
        <w:t>Comment</w:t>
      </w:r>
      <w:r>
        <w:rPr>
          <w:rFonts w:asciiTheme="minorHAnsi" w:hAnsiTheme="minorHAnsi" w:cs="Arial"/>
          <w:b/>
          <w:sz w:val="24"/>
          <w:szCs w:val="24"/>
        </w:rPr>
        <w:t xml:space="preserve"> 2</w:t>
      </w:r>
      <w:r w:rsidRPr="00376DC5">
        <w:rPr>
          <w:rFonts w:asciiTheme="minorHAnsi" w:hAnsiTheme="minorHAnsi" w:cs="Arial"/>
          <w:b/>
          <w:sz w:val="24"/>
          <w:szCs w:val="24"/>
        </w:rPr>
        <w:t xml:space="preserve"> – (</w:t>
      </w:r>
      <w:r>
        <w:rPr>
          <w:rFonts w:asciiTheme="minorHAnsi" w:hAnsiTheme="minorHAnsi" w:cs="Arial"/>
          <w:b/>
          <w:sz w:val="24"/>
          <w:szCs w:val="24"/>
        </w:rPr>
        <w:t>Definitions, Section 1(Q))</w:t>
      </w:r>
    </w:p>
    <w:p w14:paraId="4C2AA32F" w14:textId="75EF7381" w:rsidR="00A748FA" w:rsidRPr="00A748FA" w:rsidRDefault="00A748FA" w:rsidP="00636F1F">
      <w:pPr>
        <w:rPr>
          <w:rFonts w:asciiTheme="minorHAnsi" w:hAnsiTheme="minorHAnsi" w:cs="Arial"/>
          <w:sz w:val="24"/>
          <w:szCs w:val="24"/>
        </w:rPr>
      </w:pPr>
      <w:r w:rsidRPr="00A748FA">
        <w:rPr>
          <w:rFonts w:asciiTheme="minorHAnsi" w:hAnsiTheme="minorHAnsi" w:cs="Arial"/>
          <w:sz w:val="24"/>
          <w:szCs w:val="24"/>
        </w:rPr>
        <w:t xml:space="preserve">Section 1.(Q): “Rebate is defined as a discount, chargeback, or other price concession that affects the price of a prescription drug product, regardless of whether conferred through regular aggregate payments, on a claim-by-claim basis at the point-of-sale, as part of retrospective financial reconciliations (including reconciliations that also reflect other contractual arrangements), or by any other method. “Rebate” does not mean a “bona fide service fee”, as such term is defined in Section 447.502 of Title 42 of the Code of Federal Regulations, published October 1, 2019. </w:t>
      </w:r>
    </w:p>
    <w:p w14:paraId="1AC31552" w14:textId="77777777" w:rsidR="00A748FA" w:rsidRPr="00A748FA" w:rsidRDefault="00A748FA" w:rsidP="00636F1F">
      <w:pPr>
        <w:rPr>
          <w:rFonts w:asciiTheme="minorHAnsi" w:hAnsiTheme="minorHAnsi" w:cs="Arial"/>
          <w:sz w:val="24"/>
          <w:szCs w:val="24"/>
        </w:rPr>
      </w:pPr>
      <w:r w:rsidRPr="00A748FA">
        <w:rPr>
          <w:rFonts w:asciiTheme="minorHAnsi" w:hAnsiTheme="minorHAnsi" w:cs="Arial"/>
          <w:sz w:val="24"/>
          <w:szCs w:val="24"/>
        </w:rPr>
        <w:t xml:space="preserve"> </w:t>
      </w:r>
    </w:p>
    <w:p w14:paraId="4915BD0F" w14:textId="77777777" w:rsidR="00A748FA" w:rsidRPr="00A748FA" w:rsidRDefault="00A748FA" w:rsidP="00636F1F">
      <w:pPr>
        <w:rPr>
          <w:rFonts w:asciiTheme="minorHAnsi" w:hAnsiTheme="minorHAnsi" w:cs="Arial"/>
          <w:sz w:val="24"/>
          <w:szCs w:val="24"/>
        </w:rPr>
      </w:pPr>
      <w:r w:rsidRPr="00A748FA">
        <w:rPr>
          <w:rFonts w:asciiTheme="minorHAnsi" w:hAnsiTheme="minorHAnsi" w:cs="Arial"/>
          <w:sz w:val="24"/>
          <w:szCs w:val="24"/>
        </w:rPr>
        <w:t xml:space="preserve">HDA asks that the MHDO replace this definition with the definition in Federal Statute 42 CFR § 1001.952(h)(4), stating “Rebate is any discount the terms of which are fixed and disclosed in writing to the buyer at the time of the initial purchase to which the discount applies, but which is not given at the time of sale.”   </w:t>
      </w:r>
    </w:p>
    <w:p w14:paraId="6202D338" w14:textId="77777777" w:rsidR="00A748FA" w:rsidRPr="00A748FA" w:rsidRDefault="00A748FA" w:rsidP="00636F1F">
      <w:pPr>
        <w:rPr>
          <w:rFonts w:asciiTheme="minorHAnsi" w:hAnsiTheme="minorHAnsi" w:cs="Arial"/>
          <w:sz w:val="24"/>
          <w:szCs w:val="24"/>
        </w:rPr>
      </w:pPr>
      <w:r w:rsidRPr="00A748FA">
        <w:rPr>
          <w:rFonts w:asciiTheme="minorHAnsi" w:hAnsiTheme="minorHAnsi" w:cs="Arial"/>
          <w:sz w:val="24"/>
          <w:szCs w:val="24"/>
        </w:rPr>
        <w:t xml:space="preserve"> </w:t>
      </w:r>
    </w:p>
    <w:p w14:paraId="216E0554" w14:textId="77777777" w:rsidR="00A748FA" w:rsidRPr="00A748FA" w:rsidRDefault="00A748FA" w:rsidP="00636F1F">
      <w:pPr>
        <w:rPr>
          <w:rFonts w:asciiTheme="minorHAnsi" w:hAnsiTheme="minorHAnsi" w:cs="Arial"/>
          <w:sz w:val="24"/>
          <w:szCs w:val="24"/>
        </w:rPr>
      </w:pPr>
      <w:r w:rsidRPr="00A748FA">
        <w:rPr>
          <w:rFonts w:asciiTheme="minorHAnsi" w:hAnsiTheme="minorHAnsi" w:cs="Arial"/>
          <w:sz w:val="24"/>
          <w:szCs w:val="24"/>
        </w:rPr>
        <w:t xml:space="preserve">As previously stated, this definition is both overly complex and vague. Importantly, the inclusion of “chargebacks” does not fit with the definition of rebate. Chargebacks are the pharmaceutical wholesaler’s reimbursement from the manufacturer following a sale to a customer that has directly negotiated a lower price with the manufacturer. The wholesaler sells the product to the customer at a loss and is then reimbursed the difference from the manufacturer. It is not in the interest of MHDO to include chargebacks in the definition of rebates as it will not lead to accurate data.  </w:t>
      </w:r>
    </w:p>
    <w:p w14:paraId="15F8C277" w14:textId="77777777" w:rsidR="007F3B69" w:rsidRDefault="007F3B69" w:rsidP="007F3B69">
      <w:pPr>
        <w:spacing w:before="1"/>
        <w:rPr>
          <w:rFonts w:asciiTheme="minorHAnsi" w:eastAsia="Arial" w:hAnsiTheme="minorHAnsi" w:cs="Arial"/>
          <w:sz w:val="24"/>
          <w:szCs w:val="24"/>
        </w:rPr>
      </w:pPr>
    </w:p>
    <w:p w14:paraId="0348FD51" w14:textId="51EC0A4C" w:rsidR="007F3B69" w:rsidRPr="007F3B69" w:rsidRDefault="007F3B69" w:rsidP="007F3B69">
      <w:pPr>
        <w:autoSpaceDE w:val="0"/>
        <w:autoSpaceDN w:val="0"/>
        <w:adjustRightInd w:val="0"/>
        <w:rPr>
          <w:rFonts w:asciiTheme="minorHAnsi" w:hAnsiTheme="minorHAnsi" w:cs="TimesNewRomanPSMT"/>
          <w:bCs/>
          <w:sz w:val="24"/>
          <w:szCs w:val="24"/>
        </w:rPr>
      </w:pPr>
      <w:r w:rsidRPr="00CF634B">
        <w:rPr>
          <w:rFonts w:asciiTheme="minorHAnsi" w:hAnsiTheme="minorHAnsi" w:cs="Arial"/>
          <w:b/>
          <w:sz w:val="24"/>
          <w:szCs w:val="24"/>
        </w:rPr>
        <w:t xml:space="preserve">MHDO Staff Response:  </w:t>
      </w:r>
      <w:r w:rsidR="00803CD8">
        <w:rPr>
          <w:rFonts w:asciiTheme="minorHAnsi" w:hAnsiTheme="minorHAnsi" w:cs="Arial"/>
          <w:bCs/>
          <w:sz w:val="24"/>
          <w:szCs w:val="24"/>
        </w:rPr>
        <w:t>The p</w:t>
      </w:r>
      <w:r w:rsidR="0040724D" w:rsidRPr="008374F4">
        <w:rPr>
          <w:rFonts w:asciiTheme="minorHAnsi" w:hAnsiTheme="minorHAnsi" w:cs="Arial"/>
          <w:bCs/>
          <w:sz w:val="24"/>
          <w:szCs w:val="24"/>
        </w:rPr>
        <w:t xml:space="preserve">roposed </w:t>
      </w:r>
      <w:r w:rsidR="00803CD8">
        <w:rPr>
          <w:rFonts w:asciiTheme="minorHAnsi" w:hAnsiTheme="minorHAnsi" w:cs="Arial"/>
          <w:bCs/>
          <w:sz w:val="24"/>
          <w:szCs w:val="24"/>
        </w:rPr>
        <w:t>r</w:t>
      </w:r>
      <w:r w:rsidR="0040724D" w:rsidRPr="008374F4">
        <w:rPr>
          <w:rFonts w:asciiTheme="minorHAnsi" w:hAnsiTheme="minorHAnsi" w:cs="Arial"/>
          <w:bCs/>
          <w:sz w:val="24"/>
          <w:szCs w:val="24"/>
        </w:rPr>
        <w:t>ule does not contemplate changes to Section 1(Q) which became effective February 4, 2020.</w:t>
      </w:r>
      <w:r w:rsidR="0040724D">
        <w:rPr>
          <w:rFonts w:asciiTheme="minorHAnsi" w:hAnsiTheme="minorHAnsi" w:cs="Arial"/>
          <w:b/>
          <w:sz w:val="24"/>
          <w:szCs w:val="24"/>
        </w:rPr>
        <w:t xml:space="preserve">  </w:t>
      </w:r>
      <w:r w:rsidR="0040724D">
        <w:rPr>
          <w:rFonts w:asciiTheme="minorHAnsi" w:hAnsiTheme="minorHAnsi" w:cs="Arial"/>
          <w:sz w:val="24"/>
          <w:szCs w:val="24"/>
        </w:rPr>
        <w:t xml:space="preserve">Public Law Chapter 470, </w:t>
      </w:r>
      <w:r w:rsidR="0040724D">
        <w:rPr>
          <w:rFonts w:asciiTheme="minorHAnsi" w:hAnsiTheme="minorHAnsi" w:cs="TimesNewRomanPS-BoldMT"/>
          <w:bCs/>
          <w:sz w:val="24"/>
          <w:szCs w:val="24"/>
        </w:rPr>
        <w:t>§8731(4)</w:t>
      </w:r>
      <w:r w:rsidR="00FB2D4E">
        <w:rPr>
          <w:rFonts w:asciiTheme="minorHAnsi" w:hAnsiTheme="minorHAnsi" w:cs="TimesNewRomanPS-BoldMT"/>
          <w:bCs/>
          <w:sz w:val="24"/>
          <w:szCs w:val="24"/>
        </w:rPr>
        <w:t xml:space="preserve"> specifies that Pricing Component Data will take into account any price concessions when evidencing the cost to make a prescription drug available to consumers</w:t>
      </w:r>
      <w:r w:rsidR="0040724D">
        <w:rPr>
          <w:rFonts w:asciiTheme="minorHAnsi" w:hAnsiTheme="minorHAnsi" w:cs="TimesNewRomanPS-BoldMT"/>
          <w:bCs/>
          <w:sz w:val="24"/>
          <w:szCs w:val="24"/>
        </w:rPr>
        <w:t xml:space="preserve">. </w:t>
      </w:r>
      <w:r w:rsidR="00FB2D4E">
        <w:rPr>
          <w:rFonts w:asciiTheme="minorHAnsi" w:hAnsiTheme="minorHAnsi" w:cs="TimesNewRomanPS-BoldMT"/>
          <w:bCs/>
          <w:sz w:val="24"/>
          <w:szCs w:val="24"/>
        </w:rPr>
        <w:t xml:space="preserve"> </w:t>
      </w:r>
      <w:r>
        <w:rPr>
          <w:rFonts w:asciiTheme="minorHAnsi" w:hAnsiTheme="minorHAnsi" w:cs="Arial"/>
          <w:bCs/>
          <w:sz w:val="24"/>
          <w:szCs w:val="24"/>
        </w:rPr>
        <w:t xml:space="preserve">  </w:t>
      </w:r>
      <w:r w:rsidR="00FB2D4E">
        <w:rPr>
          <w:rFonts w:asciiTheme="minorHAnsi" w:hAnsiTheme="minorHAnsi" w:cs="TimesNewRomanPS-BoldMT"/>
          <w:bCs/>
          <w:sz w:val="24"/>
          <w:szCs w:val="24"/>
        </w:rPr>
        <w:t xml:space="preserve">This requires a broader scope definition of Rebate than what is provided in </w:t>
      </w:r>
      <w:r w:rsidR="00FB2D4E" w:rsidRPr="00A748FA">
        <w:rPr>
          <w:rFonts w:asciiTheme="minorHAnsi" w:hAnsiTheme="minorHAnsi" w:cs="Arial"/>
          <w:sz w:val="24"/>
          <w:szCs w:val="24"/>
        </w:rPr>
        <w:t>Federal Statute 42 CFR § 1001.952(h)(4)</w:t>
      </w:r>
      <w:r w:rsidR="00FB2D4E">
        <w:rPr>
          <w:rFonts w:asciiTheme="minorHAnsi" w:hAnsiTheme="minorHAnsi" w:cs="Arial"/>
          <w:sz w:val="24"/>
          <w:szCs w:val="24"/>
        </w:rPr>
        <w:t xml:space="preserve"> because </w:t>
      </w:r>
      <w:r>
        <w:rPr>
          <w:rFonts w:asciiTheme="minorHAnsi" w:hAnsiTheme="minorHAnsi" w:cs="Arial"/>
          <w:bCs/>
          <w:sz w:val="24"/>
          <w:szCs w:val="24"/>
        </w:rPr>
        <w:t>MHDO cannot accurately calculate the cost of a drug product</w:t>
      </w:r>
      <w:r w:rsidR="00F037A5">
        <w:rPr>
          <w:rFonts w:asciiTheme="minorHAnsi" w:hAnsiTheme="minorHAnsi" w:cs="Arial"/>
          <w:bCs/>
          <w:sz w:val="24"/>
          <w:szCs w:val="24"/>
        </w:rPr>
        <w:t xml:space="preserve"> as it moves through the supply chain</w:t>
      </w:r>
      <w:r>
        <w:rPr>
          <w:rFonts w:asciiTheme="minorHAnsi" w:hAnsiTheme="minorHAnsi" w:cs="Arial"/>
          <w:bCs/>
          <w:sz w:val="24"/>
          <w:szCs w:val="24"/>
        </w:rPr>
        <w:t xml:space="preserve"> without accounting for </w:t>
      </w:r>
      <w:r w:rsidR="00F037A5">
        <w:rPr>
          <w:rFonts w:asciiTheme="minorHAnsi" w:hAnsiTheme="minorHAnsi" w:cs="Arial"/>
          <w:bCs/>
          <w:sz w:val="24"/>
          <w:szCs w:val="24"/>
        </w:rPr>
        <w:t xml:space="preserve">discounts, </w:t>
      </w:r>
      <w:r>
        <w:rPr>
          <w:rFonts w:asciiTheme="minorHAnsi" w:hAnsiTheme="minorHAnsi" w:cs="Arial"/>
          <w:bCs/>
          <w:sz w:val="24"/>
          <w:szCs w:val="24"/>
        </w:rPr>
        <w:t>chargebacks</w:t>
      </w:r>
      <w:r w:rsidR="00F037A5">
        <w:rPr>
          <w:rFonts w:asciiTheme="minorHAnsi" w:hAnsiTheme="minorHAnsi" w:cs="Arial"/>
          <w:bCs/>
          <w:sz w:val="24"/>
          <w:szCs w:val="24"/>
        </w:rPr>
        <w:t xml:space="preserve">, </w:t>
      </w:r>
      <w:r>
        <w:rPr>
          <w:rFonts w:asciiTheme="minorHAnsi" w:hAnsiTheme="minorHAnsi" w:cs="Arial"/>
          <w:bCs/>
          <w:sz w:val="24"/>
          <w:szCs w:val="24"/>
        </w:rPr>
        <w:t>or other price concessions provided to entities throughou</w:t>
      </w:r>
      <w:r w:rsidR="00F037A5">
        <w:rPr>
          <w:rFonts w:asciiTheme="minorHAnsi" w:hAnsiTheme="minorHAnsi" w:cs="Arial"/>
          <w:bCs/>
          <w:sz w:val="24"/>
          <w:szCs w:val="24"/>
        </w:rPr>
        <w:t>t</w:t>
      </w:r>
      <w:r>
        <w:rPr>
          <w:rFonts w:asciiTheme="minorHAnsi" w:hAnsiTheme="minorHAnsi" w:cs="Arial"/>
          <w:bCs/>
          <w:sz w:val="24"/>
          <w:szCs w:val="24"/>
        </w:rPr>
        <w:t>.</w:t>
      </w:r>
    </w:p>
    <w:p w14:paraId="222AB4BD" w14:textId="77777777" w:rsidR="007F3B69" w:rsidRPr="00CF634B" w:rsidRDefault="007F3B69" w:rsidP="007F3B69">
      <w:pPr>
        <w:rPr>
          <w:rFonts w:asciiTheme="minorHAnsi" w:hAnsiTheme="minorHAnsi" w:cs="Arial"/>
          <w:b/>
          <w:sz w:val="24"/>
          <w:szCs w:val="24"/>
        </w:rPr>
      </w:pPr>
    </w:p>
    <w:p w14:paraId="5B6485DC" w14:textId="6BE4C64E" w:rsidR="007F3B69" w:rsidRDefault="007F3B69" w:rsidP="007F3B69">
      <w:pPr>
        <w:rPr>
          <w:rFonts w:asciiTheme="minorHAnsi" w:hAnsiTheme="minorHAnsi" w:cs="Arial"/>
          <w:b/>
          <w:sz w:val="24"/>
          <w:szCs w:val="24"/>
        </w:rPr>
      </w:pPr>
      <w:r w:rsidRPr="00CF634B">
        <w:rPr>
          <w:rFonts w:asciiTheme="minorHAnsi" w:hAnsiTheme="minorHAnsi" w:cs="Arial"/>
          <w:b/>
          <w:sz w:val="24"/>
          <w:szCs w:val="24"/>
        </w:rPr>
        <w:t xml:space="preserve">Recommended Board Action:  </w:t>
      </w:r>
      <w:r w:rsidR="00F037A5">
        <w:rPr>
          <w:rFonts w:asciiTheme="minorHAnsi" w:hAnsiTheme="minorHAnsi" w:cs="Arial"/>
          <w:bCs/>
          <w:sz w:val="24"/>
          <w:szCs w:val="24"/>
        </w:rPr>
        <w:t>No further action needed.</w:t>
      </w:r>
    </w:p>
    <w:p w14:paraId="14CF3645" w14:textId="77777777" w:rsidR="00A748FA" w:rsidRPr="00A748FA" w:rsidRDefault="00A748FA" w:rsidP="007F3B69">
      <w:pPr>
        <w:rPr>
          <w:rFonts w:asciiTheme="minorHAnsi" w:hAnsiTheme="minorHAnsi" w:cs="Arial"/>
          <w:sz w:val="24"/>
          <w:szCs w:val="24"/>
        </w:rPr>
      </w:pPr>
      <w:r w:rsidRPr="00A748FA">
        <w:rPr>
          <w:rFonts w:asciiTheme="minorHAnsi" w:hAnsiTheme="minorHAnsi" w:cs="Arial"/>
          <w:sz w:val="24"/>
          <w:szCs w:val="24"/>
        </w:rPr>
        <w:t xml:space="preserve"> </w:t>
      </w:r>
    </w:p>
    <w:p w14:paraId="17282928" w14:textId="77777777" w:rsidR="001D6D92" w:rsidRDefault="001D6D92" w:rsidP="00A748FA">
      <w:pPr>
        <w:ind w:left="360"/>
        <w:rPr>
          <w:rFonts w:asciiTheme="minorHAnsi" w:hAnsiTheme="minorHAnsi" w:cs="Arial"/>
          <w:b/>
          <w:sz w:val="24"/>
          <w:szCs w:val="24"/>
        </w:rPr>
      </w:pPr>
    </w:p>
    <w:p w14:paraId="0DC37F20" w14:textId="6664498B" w:rsidR="00A748FA" w:rsidRPr="004613C7" w:rsidRDefault="00A748FA" w:rsidP="00636F1F">
      <w:pPr>
        <w:rPr>
          <w:rFonts w:asciiTheme="minorHAnsi" w:hAnsiTheme="minorHAnsi" w:cs="Arial"/>
          <w:b/>
          <w:sz w:val="24"/>
          <w:szCs w:val="24"/>
        </w:rPr>
      </w:pPr>
      <w:r w:rsidRPr="004613C7">
        <w:rPr>
          <w:rFonts w:asciiTheme="minorHAnsi" w:hAnsiTheme="minorHAnsi" w:cs="Arial"/>
          <w:b/>
          <w:sz w:val="24"/>
          <w:szCs w:val="24"/>
        </w:rPr>
        <w:t xml:space="preserve">Comment </w:t>
      </w:r>
      <w:r w:rsidR="008A419E">
        <w:rPr>
          <w:rFonts w:asciiTheme="minorHAnsi" w:hAnsiTheme="minorHAnsi" w:cs="Arial"/>
          <w:b/>
          <w:sz w:val="24"/>
          <w:szCs w:val="24"/>
        </w:rPr>
        <w:t>3</w:t>
      </w:r>
      <w:r w:rsidRPr="004613C7">
        <w:rPr>
          <w:rFonts w:asciiTheme="minorHAnsi" w:hAnsiTheme="minorHAnsi" w:cs="Arial"/>
          <w:b/>
          <w:sz w:val="24"/>
          <w:szCs w:val="24"/>
        </w:rPr>
        <w:t xml:space="preserve">: </w:t>
      </w:r>
      <w:r w:rsidR="004613C7" w:rsidRPr="004613C7">
        <w:rPr>
          <w:rFonts w:asciiTheme="minorHAnsi" w:hAnsiTheme="minorHAnsi" w:cs="Arial"/>
          <w:b/>
          <w:sz w:val="24"/>
          <w:szCs w:val="24"/>
        </w:rPr>
        <w:t>(</w:t>
      </w:r>
      <w:r w:rsidRPr="004613C7">
        <w:rPr>
          <w:rFonts w:asciiTheme="minorHAnsi" w:hAnsiTheme="minorHAnsi" w:cs="Arial"/>
          <w:b/>
          <w:sz w:val="24"/>
          <w:szCs w:val="24"/>
        </w:rPr>
        <w:t>Registration and Submission Requirements</w:t>
      </w:r>
      <w:r w:rsidR="004613C7" w:rsidRPr="004613C7">
        <w:rPr>
          <w:rFonts w:asciiTheme="minorHAnsi" w:hAnsiTheme="minorHAnsi" w:cs="Arial"/>
          <w:b/>
          <w:sz w:val="24"/>
          <w:szCs w:val="24"/>
        </w:rPr>
        <w:t>,</w:t>
      </w:r>
      <w:r w:rsidRPr="004613C7">
        <w:rPr>
          <w:rFonts w:asciiTheme="minorHAnsi" w:hAnsiTheme="minorHAnsi" w:cs="Arial"/>
          <w:b/>
          <w:sz w:val="24"/>
          <w:szCs w:val="24"/>
        </w:rPr>
        <w:t xml:space="preserve"> Section 2</w:t>
      </w:r>
      <w:r w:rsidR="004613C7" w:rsidRPr="004613C7">
        <w:rPr>
          <w:rFonts w:asciiTheme="minorHAnsi" w:hAnsiTheme="minorHAnsi" w:cs="Arial"/>
          <w:b/>
          <w:sz w:val="24"/>
          <w:szCs w:val="24"/>
        </w:rPr>
        <w:t>)</w:t>
      </w:r>
    </w:p>
    <w:p w14:paraId="30AF21F0" w14:textId="5BC147D0" w:rsidR="004613C7" w:rsidRPr="004613C7" w:rsidRDefault="00A748FA" w:rsidP="00636F1F">
      <w:pPr>
        <w:jc w:val="both"/>
        <w:rPr>
          <w:rFonts w:asciiTheme="minorHAnsi" w:hAnsiTheme="minorHAnsi" w:cs="Arial"/>
          <w:sz w:val="24"/>
          <w:szCs w:val="24"/>
        </w:rPr>
      </w:pPr>
      <w:r w:rsidRPr="00A748FA">
        <w:rPr>
          <w:rFonts w:asciiTheme="minorHAnsi" w:hAnsiTheme="minorHAnsi" w:cs="Arial"/>
          <w:sz w:val="24"/>
          <w:szCs w:val="24"/>
        </w:rPr>
        <w:t>Registration and Submission Requirements Section 2(A) relating to Registration, which states “Each entity required to report shall complet</w:t>
      </w:r>
      <w:r w:rsidR="004613C7">
        <w:rPr>
          <w:rFonts w:asciiTheme="minorHAnsi" w:hAnsiTheme="minorHAnsi" w:cs="Arial"/>
          <w:sz w:val="24"/>
          <w:szCs w:val="24"/>
        </w:rPr>
        <w:t xml:space="preserve">e </w:t>
      </w:r>
      <w:r w:rsidR="004613C7" w:rsidRPr="004613C7">
        <w:rPr>
          <w:rFonts w:asciiTheme="minorHAnsi" w:eastAsia="Arial" w:hAnsiTheme="minorHAnsi" w:cs="Arial"/>
          <w:sz w:val="24"/>
          <w:szCs w:val="24"/>
        </w:rPr>
        <w:t xml:space="preserve">an online registration form, or update an existing one, via the MHDO Prescription Drug Price Data Portal web interface by January 30th of each year. It is the responsibility of the reporting entity to complete, as needed, all company and contact information.” </w:t>
      </w:r>
    </w:p>
    <w:p w14:paraId="49B5C902" w14:textId="77777777" w:rsidR="004613C7" w:rsidRPr="004613C7" w:rsidRDefault="004613C7" w:rsidP="00636F1F">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 </w:t>
      </w:r>
    </w:p>
    <w:p w14:paraId="5DED1CE1" w14:textId="19FF1022" w:rsidR="004613C7" w:rsidRDefault="004613C7" w:rsidP="00636F1F">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Because numerous supply chain entities meet the definition of “wholesaler” and “manufacturer,” HDA asks for definitive criteria to determine if an entity is required to register. For example, Oregon’s registration and reporting threshold for manufacturers requires an entity to satisfy three points; (1) Required to be registered with the Board of Pharmacy as drug manufacturers; (2) Engage in the “manufacture” of prescription drugs as defined by state statute; and (3) set or change the wholesale acquisition cost (WAC) of the drugs they manufacture. HDA would ask for a similar set of criteria to ensure wholesale distributors are compliant. </w:t>
      </w:r>
    </w:p>
    <w:p w14:paraId="691AA5F1" w14:textId="77777777" w:rsidR="00636F1F" w:rsidRDefault="00636F1F" w:rsidP="00636F1F">
      <w:pPr>
        <w:spacing w:before="1"/>
        <w:rPr>
          <w:rFonts w:asciiTheme="minorHAnsi" w:eastAsia="Arial" w:hAnsiTheme="minorHAnsi" w:cs="Arial"/>
          <w:sz w:val="24"/>
          <w:szCs w:val="24"/>
        </w:rPr>
      </w:pPr>
    </w:p>
    <w:p w14:paraId="537909C2" w14:textId="7369BA94" w:rsidR="00636F1F" w:rsidRPr="005C5F1E" w:rsidRDefault="00636F1F" w:rsidP="00636F1F">
      <w:pPr>
        <w:autoSpaceDE w:val="0"/>
        <w:autoSpaceDN w:val="0"/>
        <w:adjustRightInd w:val="0"/>
        <w:rPr>
          <w:rFonts w:asciiTheme="minorHAnsi" w:hAnsiTheme="minorHAnsi" w:cs="TimesNewRomanPSMT"/>
          <w:bCs/>
          <w:sz w:val="24"/>
          <w:szCs w:val="24"/>
        </w:rPr>
      </w:pPr>
      <w:r w:rsidRPr="00CF634B">
        <w:rPr>
          <w:rFonts w:asciiTheme="minorHAnsi" w:hAnsiTheme="minorHAnsi" w:cs="Arial"/>
          <w:b/>
          <w:sz w:val="24"/>
          <w:szCs w:val="24"/>
        </w:rPr>
        <w:t xml:space="preserve">MHDO Staff Response:  </w:t>
      </w:r>
      <w:r w:rsidR="00512881" w:rsidRPr="008B399D">
        <w:rPr>
          <w:rFonts w:asciiTheme="minorHAnsi" w:hAnsiTheme="minorHAnsi" w:cs="Arial"/>
          <w:bCs/>
          <w:sz w:val="24"/>
          <w:szCs w:val="24"/>
        </w:rPr>
        <w:t xml:space="preserve">The proposed </w:t>
      </w:r>
      <w:r w:rsidR="00803CD8">
        <w:rPr>
          <w:rFonts w:asciiTheme="minorHAnsi" w:hAnsiTheme="minorHAnsi" w:cs="Arial"/>
          <w:bCs/>
          <w:sz w:val="24"/>
          <w:szCs w:val="24"/>
        </w:rPr>
        <w:t>r</w:t>
      </w:r>
      <w:r w:rsidR="00512881" w:rsidRPr="008B399D">
        <w:rPr>
          <w:rFonts w:asciiTheme="minorHAnsi" w:hAnsiTheme="minorHAnsi" w:cs="Arial"/>
          <w:bCs/>
          <w:sz w:val="24"/>
          <w:szCs w:val="24"/>
        </w:rPr>
        <w:t xml:space="preserve">ule does not contemplate changes to Section </w:t>
      </w:r>
      <w:r w:rsidR="00512881">
        <w:rPr>
          <w:rFonts w:asciiTheme="minorHAnsi" w:hAnsiTheme="minorHAnsi" w:cs="Arial"/>
          <w:bCs/>
          <w:sz w:val="24"/>
          <w:szCs w:val="24"/>
        </w:rPr>
        <w:t>2</w:t>
      </w:r>
      <w:r w:rsidR="00512881" w:rsidRPr="008B399D">
        <w:rPr>
          <w:rFonts w:asciiTheme="minorHAnsi" w:hAnsiTheme="minorHAnsi" w:cs="Arial"/>
          <w:bCs/>
          <w:sz w:val="24"/>
          <w:szCs w:val="24"/>
        </w:rPr>
        <w:t>(</w:t>
      </w:r>
      <w:r w:rsidR="00512881">
        <w:rPr>
          <w:rFonts w:asciiTheme="minorHAnsi" w:hAnsiTheme="minorHAnsi" w:cs="Arial"/>
          <w:bCs/>
          <w:sz w:val="24"/>
          <w:szCs w:val="24"/>
        </w:rPr>
        <w:t>A</w:t>
      </w:r>
      <w:r w:rsidR="00512881" w:rsidRPr="008B399D">
        <w:rPr>
          <w:rFonts w:asciiTheme="minorHAnsi" w:hAnsiTheme="minorHAnsi" w:cs="Arial"/>
          <w:bCs/>
          <w:sz w:val="24"/>
          <w:szCs w:val="24"/>
        </w:rPr>
        <w:t>) which became effective February 4, 2020</w:t>
      </w:r>
      <w:r w:rsidR="00512881">
        <w:rPr>
          <w:rFonts w:asciiTheme="minorHAnsi" w:hAnsiTheme="minorHAnsi" w:cs="Arial"/>
          <w:bCs/>
          <w:sz w:val="24"/>
          <w:szCs w:val="24"/>
        </w:rPr>
        <w:t xml:space="preserve">.  </w:t>
      </w:r>
      <w:r w:rsidR="005C5F1E">
        <w:rPr>
          <w:rFonts w:asciiTheme="minorHAnsi" w:hAnsiTheme="minorHAnsi" w:cs="Arial"/>
          <w:bCs/>
          <w:sz w:val="24"/>
          <w:szCs w:val="24"/>
        </w:rPr>
        <w:t xml:space="preserve">It is possible that a reporting entity may be required to report as both a Manufacturer and a Wholesale Drug Distributor.  The definitive criteria for determining whether an entity meets the </w:t>
      </w:r>
      <w:r w:rsidR="004E755B">
        <w:rPr>
          <w:rFonts w:asciiTheme="minorHAnsi" w:hAnsiTheme="minorHAnsi" w:cs="Arial"/>
          <w:bCs/>
          <w:sz w:val="24"/>
          <w:szCs w:val="24"/>
        </w:rPr>
        <w:t>registration requirements for</w:t>
      </w:r>
      <w:r w:rsidR="005C5F1E">
        <w:rPr>
          <w:rFonts w:asciiTheme="minorHAnsi" w:hAnsiTheme="minorHAnsi" w:cs="Arial"/>
          <w:bCs/>
          <w:sz w:val="24"/>
          <w:szCs w:val="24"/>
        </w:rPr>
        <w:t xml:space="preserve"> a Manufacturer and/or a Wholesale Drug Distributor</w:t>
      </w:r>
      <w:r w:rsidR="004E755B">
        <w:rPr>
          <w:rFonts w:asciiTheme="minorHAnsi" w:hAnsiTheme="minorHAnsi" w:cs="Arial"/>
          <w:bCs/>
          <w:sz w:val="24"/>
          <w:szCs w:val="24"/>
        </w:rPr>
        <w:t xml:space="preserve"> </w:t>
      </w:r>
      <w:r w:rsidR="005C5F1E">
        <w:rPr>
          <w:rFonts w:asciiTheme="minorHAnsi" w:hAnsiTheme="minorHAnsi" w:cs="Arial"/>
          <w:bCs/>
          <w:sz w:val="24"/>
          <w:szCs w:val="24"/>
        </w:rPr>
        <w:t>are provided under Section 1</w:t>
      </w:r>
      <w:r w:rsidR="00805BA8">
        <w:rPr>
          <w:rFonts w:asciiTheme="minorHAnsi" w:hAnsiTheme="minorHAnsi" w:cs="Arial"/>
          <w:bCs/>
          <w:sz w:val="24"/>
          <w:szCs w:val="24"/>
        </w:rPr>
        <w:t xml:space="preserve">, subsections </w:t>
      </w:r>
      <w:r w:rsidR="005C5F1E">
        <w:rPr>
          <w:rFonts w:asciiTheme="minorHAnsi" w:hAnsiTheme="minorHAnsi" w:cs="Arial"/>
          <w:bCs/>
          <w:sz w:val="24"/>
          <w:szCs w:val="24"/>
        </w:rPr>
        <w:t>(F) and (V) respectively.</w:t>
      </w:r>
      <w:r w:rsidR="00805BA8">
        <w:rPr>
          <w:rFonts w:asciiTheme="minorHAnsi" w:hAnsiTheme="minorHAnsi" w:cs="Arial"/>
          <w:bCs/>
          <w:sz w:val="24"/>
          <w:szCs w:val="24"/>
        </w:rPr>
        <w:t xml:space="preserve">  </w:t>
      </w:r>
    </w:p>
    <w:p w14:paraId="657835A9" w14:textId="77777777" w:rsidR="00636F1F" w:rsidRPr="00CF634B" w:rsidRDefault="00636F1F" w:rsidP="00636F1F">
      <w:pPr>
        <w:rPr>
          <w:rFonts w:asciiTheme="minorHAnsi" w:hAnsiTheme="minorHAnsi" w:cs="Arial"/>
          <w:b/>
          <w:sz w:val="24"/>
          <w:szCs w:val="24"/>
        </w:rPr>
      </w:pPr>
    </w:p>
    <w:p w14:paraId="4FAF7A99" w14:textId="77A9ACB5" w:rsidR="00636F1F" w:rsidRPr="005C5F1E" w:rsidRDefault="00636F1F" w:rsidP="00636F1F">
      <w:pPr>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5C5F1E">
        <w:rPr>
          <w:rFonts w:asciiTheme="minorHAnsi" w:hAnsiTheme="minorHAnsi" w:cs="Arial"/>
          <w:bCs/>
          <w:sz w:val="24"/>
          <w:szCs w:val="24"/>
        </w:rPr>
        <w:t>No further action needed.</w:t>
      </w:r>
    </w:p>
    <w:p w14:paraId="23CEE6CD" w14:textId="77777777" w:rsidR="00636F1F" w:rsidRPr="004613C7" w:rsidRDefault="00636F1F" w:rsidP="004613C7">
      <w:pPr>
        <w:spacing w:before="1"/>
        <w:ind w:left="360"/>
        <w:rPr>
          <w:rFonts w:asciiTheme="minorHAnsi" w:eastAsia="Arial" w:hAnsiTheme="minorHAnsi" w:cs="Arial"/>
          <w:sz w:val="24"/>
          <w:szCs w:val="24"/>
        </w:rPr>
      </w:pPr>
    </w:p>
    <w:p w14:paraId="6C79C4B1" w14:textId="77777777" w:rsidR="004613C7" w:rsidRPr="004613C7"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 </w:t>
      </w:r>
    </w:p>
    <w:p w14:paraId="187131FA" w14:textId="7DFCE108" w:rsidR="001D6D92" w:rsidRDefault="001D6D92" w:rsidP="004613C7">
      <w:pPr>
        <w:spacing w:before="1"/>
        <w:rPr>
          <w:rFonts w:asciiTheme="minorHAnsi" w:eastAsia="Arial" w:hAnsiTheme="minorHAnsi" w:cs="Arial"/>
          <w:sz w:val="24"/>
          <w:szCs w:val="24"/>
        </w:rPr>
      </w:pPr>
      <w:r w:rsidRPr="001D6D92">
        <w:rPr>
          <w:rFonts w:asciiTheme="minorHAnsi" w:eastAsia="Arial" w:hAnsiTheme="minorHAnsi" w:cs="Arial"/>
          <w:b/>
          <w:sz w:val="24"/>
          <w:szCs w:val="24"/>
        </w:rPr>
        <w:t xml:space="preserve">Comment </w:t>
      </w:r>
      <w:r w:rsidR="008A419E">
        <w:rPr>
          <w:rFonts w:asciiTheme="minorHAnsi" w:eastAsia="Arial" w:hAnsiTheme="minorHAnsi" w:cs="Arial"/>
          <w:b/>
          <w:sz w:val="24"/>
          <w:szCs w:val="24"/>
        </w:rPr>
        <w:t>4</w:t>
      </w:r>
      <w:r w:rsidR="00803CD8" w:rsidRPr="001D6D92">
        <w:rPr>
          <w:rFonts w:asciiTheme="minorHAnsi" w:eastAsia="Arial" w:hAnsiTheme="minorHAnsi" w:cs="Arial"/>
          <w:b/>
          <w:sz w:val="24"/>
          <w:szCs w:val="24"/>
        </w:rPr>
        <w:t xml:space="preserve">: </w:t>
      </w:r>
      <w:r w:rsidR="00803CD8">
        <w:rPr>
          <w:rFonts w:asciiTheme="minorHAnsi" w:eastAsia="Arial" w:hAnsiTheme="minorHAnsi" w:cs="Arial"/>
          <w:b/>
          <w:sz w:val="24"/>
          <w:szCs w:val="24"/>
        </w:rPr>
        <w:t>(</w:t>
      </w:r>
      <w:r w:rsidR="004613C7" w:rsidRPr="001D6D92">
        <w:rPr>
          <w:rFonts w:asciiTheme="minorHAnsi" w:eastAsia="Arial" w:hAnsiTheme="minorHAnsi" w:cs="Arial"/>
          <w:b/>
          <w:sz w:val="24"/>
          <w:szCs w:val="24"/>
        </w:rPr>
        <w:t xml:space="preserve">Manufacturer Report </w:t>
      </w:r>
      <w:r w:rsidR="004613C7" w:rsidRPr="002C70E5">
        <w:rPr>
          <w:rFonts w:asciiTheme="minorHAnsi" w:eastAsia="Arial" w:hAnsiTheme="minorHAnsi" w:cs="Arial"/>
          <w:i/>
          <w:sz w:val="24"/>
          <w:szCs w:val="24"/>
        </w:rPr>
        <w:t>for New Drugs (Struck from Rule)</w:t>
      </w:r>
      <w:r w:rsidR="007A7873">
        <w:rPr>
          <w:rFonts w:asciiTheme="minorHAnsi" w:eastAsia="Arial" w:hAnsiTheme="minorHAnsi" w:cs="Arial"/>
          <w:i/>
          <w:sz w:val="24"/>
          <w:szCs w:val="24"/>
        </w:rPr>
        <w:t xml:space="preserve">, </w:t>
      </w:r>
      <w:r w:rsidR="007A7873" w:rsidRPr="007A7873">
        <w:rPr>
          <w:rFonts w:asciiTheme="minorHAnsi" w:eastAsia="Arial" w:hAnsiTheme="minorHAnsi" w:cs="Arial"/>
          <w:b/>
          <w:sz w:val="24"/>
          <w:szCs w:val="24"/>
        </w:rPr>
        <w:t>Section 2)</w:t>
      </w:r>
    </w:p>
    <w:p w14:paraId="167BBC28" w14:textId="3E5CF43B" w:rsidR="004613C7"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Striking the Manufacturer Report for New Drugs conflicts with current statute and threatens to confuse which entities would be required to report this information. If this reporting requirement is struck from the regulations, other reporting entities should not be required to report similar data on new drugs. </w:t>
      </w:r>
    </w:p>
    <w:p w14:paraId="00074818" w14:textId="77777777" w:rsidR="00636F1F" w:rsidRDefault="00636F1F" w:rsidP="00636F1F">
      <w:pPr>
        <w:autoSpaceDE w:val="0"/>
        <w:autoSpaceDN w:val="0"/>
        <w:adjustRightInd w:val="0"/>
        <w:ind w:left="360"/>
        <w:rPr>
          <w:rFonts w:asciiTheme="minorHAnsi" w:hAnsiTheme="minorHAnsi" w:cs="Arial"/>
          <w:b/>
          <w:sz w:val="24"/>
          <w:szCs w:val="24"/>
        </w:rPr>
      </w:pPr>
    </w:p>
    <w:p w14:paraId="4A6A321D" w14:textId="4F8ED88A" w:rsidR="00636F1F" w:rsidRPr="00805BA8" w:rsidRDefault="00636F1F" w:rsidP="00636F1F">
      <w:pPr>
        <w:autoSpaceDE w:val="0"/>
        <w:autoSpaceDN w:val="0"/>
        <w:adjustRightInd w:val="0"/>
        <w:rPr>
          <w:rFonts w:asciiTheme="minorHAnsi" w:hAnsiTheme="minorHAnsi" w:cs="TimesNewRomanPSMT"/>
          <w:bCs/>
          <w:sz w:val="24"/>
          <w:szCs w:val="24"/>
        </w:rPr>
      </w:pPr>
      <w:r w:rsidRPr="00CF634B">
        <w:rPr>
          <w:rFonts w:asciiTheme="minorHAnsi" w:hAnsiTheme="minorHAnsi" w:cs="Arial"/>
          <w:b/>
          <w:sz w:val="24"/>
          <w:szCs w:val="24"/>
        </w:rPr>
        <w:t xml:space="preserve">MHDO Staff Response:  </w:t>
      </w:r>
      <w:r w:rsidR="00805BA8">
        <w:rPr>
          <w:rFonts w:asciiTheme="minorHAnsi" w:hAnsiTheme="minorHAnsi" w:cs="Arial"/>
          <w:bCs/>
          <w:sz w:val="24"/>
          <w:szCs w:val="24"/>
        </w:rPr>
        <w:t xml:space="preserve">All data elements from Manufacturer Report for New Drugs have been maintained and consolidated into </w:t>
      </w:r>
      <w:r w:rsidR="00CA542B">
        <w:rPr>
          <w:rFonts w:asciiTheme="minorHAnsi" w:hAnsiTheme="minorHAnsi" w:cs="Arial"/>
          <w:bCs/>
          <w:sz w:val="24"/>
          <w:szCs w:val="24"/>
        </w:rPr>
        <w:t xml:space="preserve">Section 2(J)(1) </w:t>
      </w:r>
      <w:r w:rsidR="00805BA8">
        <w:rPr>
          <w:rFonts w:asciiTheme="minorHAnsi" w:hAnsiTheme="minorHAnsi" w:cs="Arial"/>
          <w:bCs/>
          <w:sz w:val="24"/>
          <w:szCs w:val="24"/>
        </w:rPr>
        <w:t xml:space="preserve">Manufacturer Report.  Further, the Manufacturer requirement to provide notice of new prescription drugs that </w:t>
      </w:r>
      <w:r w:rsidR="00CA542B">
        <w:rPr>
          <w:rFonts w:asciiTheme="minorHAnsi" w:hAnsiTheme="minorHAnsi" w:cs="Arial"/>
          <w:bCs/>
          <w:sz w:val="24"/>
          <w:szCs w:val="24"/>
        </w:rPr>
        <w:t>exceed the</w:t>
      </w:r>
      <w:r w:rsidR="00805BA8">
        <w:rPr>
          <w:rFonts w:asciiTheme="minorHAnsi" w:hAnsiTheme="minorHAnsi" w:cs="Arial"/>
          <w:bCs/>
          <w:sz w:val="24"/>
          <w:szCs w:val="24"/>
        </w:rPr>
        <w:t xml:space="preserve"> WAC </w:t>
      </w:r>
      <w:r w:rsidR="00CA542B">
        <w:rPr>
          <w:rFonts w:asciiTheme="minorHAnsi" w:hAnsiTheme="minorHAnsi" w:cs="Arial"/>
          <w:bCs/>
          <w:sz w:val="24"/>
          <w:szCs w:val="24"/>
        </w:rPr>
        <w:t>threshold identified in Section 2(B)(3) has not been</w:t>
      </w:r>
      <w:r w:rsidR="004E755B">
        <w:rPr>
          <w:rFonts w:asciiTheme="minorHAnsi" w:hAnsiTheme="minorHAnsi" w:cs="Arial"/>
          <w:bCs/>
          <w:sz w:val="24"/>
          <w:szCs w:val="24"/>
        </w:rPr>
        <w:t xml:space="preserve"> updated or</w:t>
      </w:r>
      <w:r w:rsidR="00CA542B">
        <w:rPr>
          <w:rFonts w:asciiTheme="minorHAnsi" w:hAnsiTheme="minorHAnsi" w:cs="Arial"/>
          <w:bCs/>
          <w:sz w:val="24"/>
          <w:szCs w:val="24"/>
        </w:rPr>
        <w:t xml:space="preserve"> removed.</w:t>
      </w:r>
    </w:p>
    <w:p w14:paraId="67116597" w14:textId="77777777" w:rsidR="00636F1F" w:rsidRPr="00CF634B" w:rsidRDefault="00636F1F" w:rsidP="00636F1F">
      <w:pPr>
        <w:rPr>
          <w:rFonts w:asciiTheme="minorHAnsi" w:hAnsiTheme="minorHAnsi" w:cs="Arial"/>
          <w:b/>
          <w:sz w:val="24"/>
          <w:szCs w:val="24"/>
        </w:rPr>
      </w:pPr>
    </w:p>
    <w:p w14:paraId="217330A4" w14:textId="671C1152" w:rsidR="00636F1F" w:rsidRPr="00CA542B" w:rsidRDefault="00636F1F" w:rsidP="00636F1F">
      <w:pPr>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DD783C">
        <w:rPr>
          <w:rFonts w:asciiTheme="minorHAnsi" w:hAnsiTheme="minorHAnsi" w:cs="Arial"/>
          <w:bCs/>
          <w:sz w:val="24"/>
          <w:szCs w:val="24"/>
        </w:rPr>
        <w:t>Approve the proposed changes</w:t>
      </w:r>
      <w:r w:rsidR="00CA542B">
        <w:rPr>
          <w:rFonts w:asciiTheme="minorHAnsi" w:hAnsiTheme="minorHAnsi" w:cs="Arial"/>
          <w:bCs/>
          <w:sz w:val="24"/>
          <w:szCs w:val="24"/>
        </w:rPr>
        <w:t>.</w:t>
      </w:r>
    </w:p>
    <w:p w14:paraId="0F124192" w14:textId="77777777" w:rsidR="00636F1F" w:rsidRPr="004613C7" w:rsidRDefault="00636F1F" w:rsidP="004613C7">
      <w:pPr>
        <w:spacing w:before="1"/>
        <w:rPr>
          <w:rFonts w:asciiTheme="minorHAnsi" w:eastAsia="Arial" w:hAnsiTheme="minorHAnsi" w:cs="Arial"/>
          <w:sz w:val="24"/>
          <w:szCs w:val="24"/>
        </w:rPr>
      </w:pPr>
    </w:p>
    <w:p w14:paraId="23EDF5C4" w14:textId="77777777" w:rsidR="004613C7" w:rsidRPr="004613C7"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 </w:t>
      </w:r>
    </w:p>
    <w:p w14:paraId="40F957D6" w14:textId="333B7213" w:rsidR="001D6D92" w:rsidRPr="00636F1F" w:rsidRDefault="001D6D92" w:rsidP="004613C7">
      <w:pPr>
        <w:spacing w:before="1"/>
        <w:rPr>
          <w:rFonts w:asciiTheme="minorHAnsi" w:eastAsia="Arial" w:hAnsiTheme="minorHAnsi" w:cs="Arial"/>
          <w:b/>
          <w:sz w:val="24"/>
          <w:szCs w:val="24"/>
        </w:rPr>
      </w:pPr>
      <w:r w:rsidRPr="00636F1F">
        <w:rPr>
          <w:rFonts w:asciiTheme="minorHAnsi" w:eastAsia="Arial" w:hAnsiTheme="minorHAnsi" w:cs="Arial"/>
          <w:b/>
          <w:sz w:val="24"/>
          <w:szCs w:val="24"/>
        </w:rPr>
        <w:t xml:space="preserve">Comment </w:t>
      </w:r>
      <w:r w:rsidR="008A419E">
        <w:rPr>
          <w:rFonts w:asciiTheme="minorHAnsi" w:eastAsia="Arial" w:hAnsiTheme="minorHAnsi" w:cs="Arial"/>
          <w:b/>
          <w:sz w:val="24"/>
          <w:szCs w:val="24"/>
        </w:rPr>
        <w:t>5</w:t>
      </w:r>
      <w:r w:rsidR="00803CD8" w:rsidRPr="00636F1F">
        <w:rPr>
          <w:rFonts w:asciiTheme="minorHAnsi" w:eastAsia="Arial" w:hAnsiTheme="minorHAnsi" w:cs="Arial"/>
          <w:b/>
          <w:sz w:val="24"/>
          <w:szCs w:val="24"/>
        </w:rPr>
        <w:t xml:space="preserve">: </w:t>
      </w:r>
      <w:r w:rsidR="00803CD8">
        <w:rPr>
          <w:rFonts w:asciiTheme="minorHAnsi" w:eastAsia="Arial" w:hAnsiTheme="minorHAnsi" w:cs="Arial"/>
          <w:b/>
          <w:sz w:val="24"/>
          <w:szCs w:val="24"/>
        </w:rPr>
        <w:t>(</w:t>
      </w:r>
      <w:r w:rsidR="004613C7" w:rsidRPr="00636F1F">
        <w:rPr>
          <w:rFonts w:asciiTheme="minorHAnsi" w:eastAsia="Arial" w:hAnsiTheme="minorHAnsi" w:cs="Arial"/>
          <w:b/>
          <w:sz w:val="24"/>
          <w:szCs w:val="24"/>
        </w:rPr>
        <w:t>Manufacturer Report</w:t>
      </w:r>
      <w:r w:rsidRPr="00636F1F">
        <w:rPr>
          <w:rFonts w:asciiTheme="minorHAnsi" w:eastAsia="Arial" w:hAnsiTheme="minorHAnsi" w:cs="Arial"/>
          <w:b/>
          <w:sz w:val="24"/>
          <w:szCs w:val="24"/>
        </w:rPr>
        <w:t>, Section 2</w:t>
      </w:r>
      <w:r w:rsidR="00063E5F">
        <w:rPr>
          <w:rFonts w:asciiTheme="minorHAnsi" w:eastAsia="Arial" w:hAnsiTheme="minorHAnsi" w:cs="Arial"/>
          <w:b/>
          <w:sz w:val="24"/>
          <w:szCs w:val="24"/>
        </w:rPr>
        <w:t xml:space="preserve"> – Estimated Number of Patients</w:t>
      </w:r>
      <w:r w:rsidRPr="00636F1F">
        <w:rPr>
          <w:rFonts w:asciiTheme="minorHAnsi" w:eastAsia="Arial" w:hAnsiTheme="minorHAnsi" w:cs="Arial"/>
          <w:b/>
          <w:sz w:val="24"/>
          <w:szCs w:val="24"/>
        </w:rPr>
        <w:t>)</w:t>
      </w:r>
    </w:p>
    <w:p w14:paraId="2AF0F848" w14:textId="7D954ED4" w:rsidR="00E5428E"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Estimated Number of Patients </w:t>
      </w:r>
      <w:r w:rsidR="001D6D92">
        <w:rPr>
          <w:rFonts w:asciiTheme="minorHAnsi" w:eastAsia="Arial" w:hAnsiTheme="minorHAnsi" w:cs="Arial"/>
          <w:sz w:val="24"/>
          <w:szCs w:val="24"/>
        </w:rPr>
        <w:t xml:space="preserve">- </w:t>
      </w:r>
      <w:r w:rsidRPr="004613C7">
        <w:rPr>
          <w:rFonts w:asciiTheme="minorHAnsi" w:eastAsia="Arial" w:hAnsiTheme="minorHAnsi" w:cs="Arial"/>
          <w:sz w:val="24"/>
          <w:szCs w:val="24"/>
        </w:rPr>
        <w:t xml:space="preserve">Neither wholesale distributors nor </w:t>
      </w:r>
      <w:r w:rsidR="00803CD8" w:rsidRPr="004613C7">
        <w:rPr>
          <w:rFonts w:asciiTheme="minorHAnsi" w:eastAsia="Arial" w:hAnsiTheme="minorHAnsi" w:cs="Arial"/>
          <w:sz w:val="24"/>
          <w:szCs w:val="24"/>
        </w:rPr>
        <w:t>repackages</w:t>
      </w:r>
      <w:r w:rsidRPr="004613C7">
        <w:rPr>
          <w:rFonts w:asciiTheme="minorHAnsi" w:eastAsia="Arial" w:hAnsiTheme="minorHAnsi" w:cs="Arial"/>
          <w:sz w:val="24"/>
          <w:szCs w:val="24"/>
        </w:rPr>
        <w:t xml:space="preserve"> can access patient data. By leaving repackagers in the definition of a manufacturer, reporting entities will not be able to comply with MHDO’s request. If repackager is to remain in the</w:t>
      </w:r>
    </w:p>
    <w:p w14:paraId="75837BC5" w14:textId="1DD5F796" w:rsidR="001D6D92"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definition, HDA respectfully asks that repackagers and wholesale distributors abstain from reporting this data point since they do not have access to any patient information. </w:t>
      </w:r>
    </w:p>
    <w:p w14:paraId="7CAEA7D1" w14:textId="77777777" w:rsidR="00063E5F" w:rsidRDefault="00063E5F" w:rsidP="00063E5F">
      <w:pPr>
        <w:autoSpaceDE w:val="0"/>
        <w:autoSpaceDN w:val="0"/>
        <w:adjustRightInd w:val="0"/>
        <w:rPr>
          <w:rFonts w:asciiTheme="minorHAnsi" w:hAnsiTheme="minorHAnsi" w:cs="Arial"/>
          <w:b/>
          <w:sz w:val="24"/>
          <w:szCs w:val="24"/>
        </w:rPr>
      </w:pPr>
    </w:p>
    <w:p w14:paraId="5F48C983" w14:textId="01142981" w:rsidR="00063E5F" w:rsidRPr="00063E5F" w:rsidRDefault="00063E5F" w:rsidP="00063E5F">
      <w:pPr>
        <w:autoSpaceDE w:val="0"/>
        <w:autoSpaceDN w:val="0"/>
        <w:adjustRightInd w:val="0"/>
        <w:rPr>
          <w:rFonts w:asciiTheme="minorHAnsi" w:hAnsiTheme="minorHAnsi" w:cs="TimesNewRomanPSMT"/>
          <w:bCs/>
          <w:sz w:val="24"/>
          <w:szCs w:val="24"/>
        </w:rPr>
      </w:pPr>
      <w:r w:rsidRPr="00CF634B">
        <w:rPr>
          <w:rFonts w:asciiTheme="minorHAnsi" w:hAnsiTheme="minorHAnsi" w:cs="Arial"/>
          <w:b/>
          <w:sz w:val="24"/>
          <w:szCs w:val="24"/>
        </w:rPr>
        <w:t xml:space="preserve">MHDO Staff Response:  </w:t>
      </w:r>
      <w:r>
        <w:rPr>
          <w:rFonts w:asciiTheme="minorHAnsi" w:hAnsiTheme="minorHAnsi" w:cs="Arial"/>
          <w:bCs/>
          <w:sz w:val="24"/>
          <w:szCs w:val="24"/>
        </w:rPr>
        <w:t xml:space="preserve">Wholesale Drug Distributors are not required to provide data regarding the Estimated Number of Patients.  Repackagers should provide their best estimate of the </w:t>
      </w:r>
      <w:r w:rsidR="006058A7">
        <w:rPr>
          <w:rFonts w:asciiTheme="minorHAnsi" w:hAnsiTheme="minorHAnsi" w:cs="Arial"/>
          <w:bCs/>
          <w:sz w:val="24"/>
          <w:szCs w:val="24"/>
        </w:rPr>
        <w:t xml:space="preserve">annual </w:t>
      </w:r>
      <w:r>
        <w:rPr>
          <w:rFonts w:asciiTheme="minorHAnsi" w:hAnsiTheme="minorHAnsi" w:cs="Arial"/>
          <w:bCs/>
          <w:sz w:val="24"/>
          <w:szCs w:val="24"/>
        </w:rPr>
        <w:t xml:space="preserve">number of </w:t>
      </w:r>
      <w:r w:rsidR="006058A7">
        <w:rPr>
          <w:rFonts w:asciiTheme="minorHAnsi" w:hAnsiTheme="minorHAnsi" w:cs="Arial"/>
          <w:bCs/>
          <w:sz w:val="24"/>
          <w:szCs w:val="24"/>
        </w:rPr>
        <w:t>p</w:t>
      </w:r>
      <w:r>
        <w:rPr>
          <w:rFonts w:asciiTheme="minorHAnsi" w:hAnsiTheme="minorHAnsi" w:cs="Arial"/>
          <w:bCs/>
          <w:sz w:val="24"/>
          <w:szCs w:val="24"/>
        </w:rPr>
        <w:t>atients</w:t>
      </w:r>
      <w:r w:rsidR="006058A7">
        <w:rPr>
          <w:rFonts w:asciiTheme="minorHAnsi" w:hAnsiTheme="minorHAnsi" w:cs="Arial"/>
          <w:bCs/>
          <w:sz w:val="24"/>
          <w:szCs w:val="24"/>
        </w:rPr>
        <w:t xml:space="preserve"> for each NDC requested.</w:t>
      </w:r>
    </w:p>
    <w:p w14:paraId="06678767" w14:textId="77777777" w:rsidR="00063E5F" w:rsidRPr="00CF634B" w:rsidRDefault="00063E5F" w:rsidP="00063E5F">
      <w:pPr>
        <w:rPr>
          <w:rFonts w:asciiTheme="minorHAnsi" w:hAnsiTheme="minorHAnsi" w:cs="Arial"/>
          <w:b/>
          <w:sz w:val="24"/>
          <w:szCs w:val="24"/>
        </w:rPr>
      </w:pPr>
    </w:p>
    <w:p w14:paraId="09B82C44" w14:textId="6583CFA3" w:rsidR="006058A7" w:rsidRPr="00CA542B" w:rsidRDefault="00063E5F" w:rsidP="006058A7">
      <w:pPr>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DD783C">
        <w:rPr>
          <w:rFonts w:asciiTheme="minorHAnsi" w:hAnsiTheme="minorHAnsi" w:cs="Arial"/>
          <w:bCs/>
          <w:sz w:val="24"/>
          <w:szCs w:val="24"/>
        </w:rPr>
        <w:t>Approve the proposed changes</w:t>
      </w:r>
      <w:r w:rsidR="006058A7">
        <w:rPr>
          <w:rFonts w:asciiTheme="minorHAnsi" w:hAnsiTheme="minorHAnsi" w:cs="Arial"/>
          <w:bCs/>
          <w:sz w:val="24"/>
          <w:szCs w:val="24"/>
        </w:rPr>
        <w:t>.</w:t>
      </w:r>
    </w:p>
    <w:p w14:paraId="4E901112" w14:textId="77777777" w:rsidR="00063E5F" w:rsidRPr="004613C7" w:rsidRDefault="00063E5F" w:rsidP="00063E5F">
      <w:pPr>
        <w:spacing w:before="1"/>
        <w:rPr>
          <w:rFonts w:asciiTheme="minorHAnsi" w:eastAsia="Arial" w:hAnsiTheme="minorHAnsi" w:cs="Arial"/>
          <w:sz w:val="24"/>
          <w:szCs w:val="24"/>
        </w:rPr>
      </w:pPr>
    </w:p>
    <w:p w14:paraId="6162DDF9" w14:textId="4B61A135" w:rsidR="001D6D92" w:rsidRDefault="001D6D92" w:rsidP="004613C7">
      <w:pPr>
        <w:spacing w:before="1"/>
        <w:rPr>
          <w:rFonts w:asciiTheme="minorHAnsi" w:eastAsia="Arial" w:hAnsiTheme="minorHAnsi" w:cs="Arial"/>
          <w:sz w:val="24"/>
          <w:szCs w:val="24"/>
        </w:rPr>
      </w:pPr>
    </w:p>
    <w:p w14:paraId="6CA3171A" w14:textId="73577541" w:rsidR="00063E5F" w:rsidRPr="00636F1F" w:rsidRDefault="00063E5F" w:rsidP="00063E5F">
      <w:pPr>
        <w:spacing w:before="1"/>
        <w:rPr>
          <w:rFonts w:asciiTheme="minorHAnsi" w:eastAsia="Arial" w:hAnsiTheme="minorHAnsi" w:cs="Arial"/>
          <w:b/>
          <w:sz w:val="24"/>
          <w:szCs w:val="24"/>
        </w:rPr>
      </w:pPr>
      <w:r w:rsidRPr="00636F1F">
        <w:rPr>
          <w:rFonts w:asciiTheme="minorHAnsi" w:eastAsia="Arial" w:hAnsiTheme="minorHAnsi" w:cs="Arial"/>
          <w:b/>
          <w:sz w:val="24"/>
          <w:szCs w:val="24"/>
        </w:rPr>
        <w:t xml:space="preserve">Comment </w:t>
      </w:r>
      <w:r>
        <w:rPr>
          <w:rFonts w:asciiTheme="minorHAnsi" w:eastAsia="Arial" w:hAnsiTheme="minorHAnsi" w:cs="Arial"/>
          <w:b/>
          <w:sz w:val="24"/>
          <w:szCs w:val="24"/>
        </w:rPr>
        <w:t>6:</w:t>
      </w:r>
      <w:r w:rsidRPr="00636F1F">
        <w:rPr>
          <w:rFonts w:asciiTheme="minorHAnsi" w:eastAsia="Arial" w:hAnsiTheme="minorHAnsi" w:cs="Arial"/>
          <w:b/>
          <w:sz w:val="24"/>
          <w:szCs w:val="24"/>
        </w:rPr>
        <w:t xml:space="preserve"> </w:t>
      </w:r>
      <w:r>
        <w:rPr>
          <w:rFonts w:asciiTheme="minorHAnsi" w:eastAsia="Arial" w:hAnsiTheme="minorHAnsi" w:cs="Arial"/>
          <w:b/>
          <w:sz w:val="24"/>
          <w:szCs w:val="24"/>
        </w:rPr>
        <w:t xml:space="preserve"> (</w:t>
      </w:r>
      <w:r w:rsidRPr="00636F1F">
        <w:rPr>
          <w:rFonts w:asciiTheme="minorHAnsi" w:eastAsia="Arial" w:hAnsiTheme="minorHAnsi" w:cs="Arial"/>
          <w:b/>
          <w:sz w:val="24"/>
          <w:szCs w:val="24"/>
        </w:rPr>
        <w:t>Manufacturer Report, Section 2</w:t>
      </w:r>
      <w:r>
        <w:rPr>
          <w:rFonts w:asciiTheme="minorHAnsi" w:eastAsia="Arial" w:hAnsiTheme="minorHAnsi" w:cs="Arial"/>
          <w:b/>
          <w:sz w:val="24"/>
          <w:szCs w:val="24"/>
        </w:rPr>
        <w:t xml:space="preserve"> – Cost Change Factors</w:t>
      </w:r>
      <w:r w:rsidRPr="00636F1F">
        <w:rPr>
          <w:rFonts w:asciiTheme="minorHAnsi" w:eastAsia="Arial" w:hAnsiTheme="minorHAnsi" w:cs="Arial"/>
          <w:b/>
          <w:sz w:val="24"/>
          <w:szCs w:val="24"/>
        </w:rPr>
        <w:t>)</w:t>
      </w:r>
    </w:p>
    <w:p w14:paraId="03B0A790" w14:textId="795617E6" w:rsidR="00636F1F"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Cost Change Factors</w:t>
      </w:r>
      <w:r w:rsidR="00636F1F">
        <w:rPr>
          <w:rFonts w:asciiTheme="minorHAnsi" w:eastAsia="Arial" w:hAnsiTheme="minorHAnsi" w:cs="Arial"/>
          <w:sz w:val="24"/>
          <w:szCs w:val="24"/>
        </w:rPr>
        <w:t xml:space="preserve"> - </w:t>
      </w:r>
      <w:r w:rsidRPr="004613C7">
        <w:rPr>
          <w:rFonts w:asciiTheme="minorHAnsi" w:eastAsia="Arial" w:hAnsiTheme="minorHAnsi" w:cs="Arial"/>
          <w:sz w:val="24"/>
          <w:szCs w:val="24"/>
        </w:rPr>
        <w:t xml:space="preserve"> If repackager remains in the definition of manufacturer, HDA asks that MHDO add a category for supplier price increase. The supplier, or the actual manufacturer of the product, is not likely to provide a specific reason for a price increase to subsequent entities like the repackager. However, the repackager will be forced to increase their price due to the price increase by a previous supply chain entity. </w:t>
      </w:r>
    </w:p>
    <w:p w14:paraId="76DFC335" w14:textId="5368F124" w:rsidR="00636F1F" w:rsidRDefault="00636F1F" w:rsidP="004613C7">
      <w:pPr>
        <w:spacing w:before="1"/>
        <w:rPr>
          <w:rFonts w:asciiTheme="minorHAnsi" w:eastAsia="Arial" w:hAnsiTheme="minorHAnsi" w:cs="Arial"/>
          <w:sz w:val="24"/>
          <w:szCs w:val="24"/>
        </w:rPr>
      </w:pPr>
    </w:p>
    <w:p w14:paraId="6AC45A25" w14:textId="7AB7CF1B" w:rsidR="00063E5F" w:rsidRPr="006058A7" w:rsidRDefault="00063E5F" w:rsidP="00063E5F">
      <w:pPr>
        <w:autoSpaceDE w:val="0"/>
        <w:autoSpaceDN w:val="0"/>
        <w:adjustRightInd w:val="0"/>
        <w:rPr>
          <w:rFonts w:asciiTheme="minorHAnsi" w:hAnsiTheme="minorHAnsi" w:cs="TimesNewRomanPSMT"/>
          <w:bCs/>
          <w:sz w:val="24"/>
          <w:szCs w:val="24"/>
        </w:rPr>
      </w:pPr>
      <w:r w:rsidRPr="00CF634B">
        <w:rPr>
          <w:rFonts w:asciiTheme="minorHAnsi" w:hAnsiTheme="minorHAnsi" w:cs="Arial"/>
          <w:b/>
          <w:sz w:val="24"/>
          <w:szCs w:val="24"/>
        </w:rPr>
        <w:t xml:space="preserve">MHDO Staff Response:  </w:t>
      </w:r>
      <w:r w:rsidR="006058A7">
        <w:rPr>
          <w:rFonts w:asciiTheme="minorHAnsi" w:hAnsiTheme="minorHAnsi" w:cs="Arial"/>
          <w:bCs/>
          <w:sz w:val="24"/>
          <w:szCs w:val="24"/>
        </w:rPr>
        <w:t xml:space="preserve">MHDO agrees to add a new Cost Change Factor option that allows </w:t>
      </w:r>
      <w:r w:rsidR="00507FCB">
        <w:rPr>
          <w:rFonts w:asciiTheme="minorHAnsi" w:hAnsiTheme="minorHAnsi" w:cs="Arial"/>
          <w:bCs/>
          <w:sz w:val="24"/>
          <w:szCs w:val="24"/>
        </w:rPr>
        <w:t>manufacturers</w:t>
      </w:r>
      <w:r w:rsidR="006058A7">
        <w:rPr>
          <w:rFonts w:asciiTheme="minorHAnsi" w:hAnsiTheme="minorHAnsi" w:cs="Arial"/>
          <w:bCs/>
          <w:sz w:val="24"/>
          <w:szCs w:val="24"/>
        </w:rPr>
        <w:t xml:space="preserve"> to indicate an increase in supplier price</w:t>
      </w:r>
      <w:r w:rsidR="00507FCB">
        <w:rPr>
          <w:rFonts w:asciiTheme="minorHAnsi" w:hAnsiTheme="minorHAnsi" w:cs="Arial"/>
          <w:bCs/>
          <w:sz w:val="24"/>
          <w:szCs w:val="24"/>
        </w:rPr>
        <w:t xml:space="preserve"> for repackaged products</w:t>
      </w:r>
      <w:r w:rsidR="006058A7">
        <w:rPr>
          <w:rFonts w:asciiTheme="minorHAnsi" w:hAnsiTheme="minorHAnsi" w:cs="Arial"/>
          <w:bCs/>
          <w:sz w:val="24"/>
          <w:szCs w:val="24"/>
        </w:rPr>
        <w:t>.</w:t>
      </w:r>
    </w:p>
    <w:p w14:paraId="09C33ED9" w14:textId="77777777" w:rsidR="00063E5F" w:rsidRPr="00CF634B" w:rsidRDefault="00063E5F" w:rsidP="00063E5F">
      <w:pPr>
        <w:rPr>
          <w:rFonts w:asciiTheme="minorHAnsi" w:hAnsiTheme="minorHAnsi" w:cs="Arial"/>
          <w:b/>
          <w:sz w:val="24"/>
          <w:szCs w:val="24"/>
        </w:rPr>
      </w:pPr>
    </w:p>
    <w:p w14:paraId="224EB29F" w14:textId="4FC0337C" w:rsidR="00063E5F" w:rsidRDefault="00063E5F" w:rsidP="00063E5F">
      <w:pPr>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1B5C5E">
        <w:rPr>
          <w:rFonts w:asciiTheme="minorHAnsi" w:hAnsiTheme="minorHAnsi" w:cs="Arial"/>
          <w:bCs/>
          <w:sz w:val="24"/>
          <w:szCs w:val="24"/>
        </w:rPr>
        <w:t>Amend Section 2(J)(1)</w:t>
      </w:r>
      <w:r w:rsidR="00B4465E">
        <w:rPr>
          <w:rFonts w:asciiTheme="minorHAnsi" w:hAnsiTheme="minorHAnsi" w:cs="Arial"/>
          <w:bCs/>
          <w:sz w:val="24"/>
          <w:szCs w:val="24"/>
        </w:rPr>
        <w:t>, Cost Change Factors Description</w:t>
      </w:r>
      <w:r w:rsidR="001B5C5E">
        <w:rPr>
          <w:rFonts w:asciiTheme="minorHAnsi" w:hAnsiTheme="minorHAnsi" w:cs="Arial"/>
          <w:bCs/>
          <w:sz w:val="24"/>
          <w:szCs w:val="24"/>
        </w:rPr>
        <w:t>/Codes/Sources as follows:</w:t>
      </w:r>
    </w:p>
    <w:p w14:paraId="6FD51B04" w14:textId="5D7A5FE3" w:rsidR="001B5C5E" w:rsidRDefault="001B5C5E" w:rsidP="00063E5F">
      <w:pPr>
        <w:rPr>
          <w:rFonts w:asciiTheme="minorHAnsi" w:hAnsiTheme="minorHAnsi" w:cs="Arial"/>
          <w:bCs/>
          <w:sz w:val="24"/>
          <w:szCs w:val="24"/>
        </w:rPr>
      </w:pPr>
    </w:p>
    <w:p w14:paraId="5CADCD87"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Reasons for WAC change</w:t>
      </w:r>
    </w:p>
    <w:p w14:paraId="12B2947B"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0 – No change/not applicable</w:t>
      </w:r>
    </w:p>
    <w:p w14:paraId="67F6DD64"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1 – Change in administrative expenses</w:t>
      </w:r>
    </w:p>
    <w:p w14:paraId="049833B4"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2 – Scheduled price change</w:t>
      </w:r>
    </w:p>
    <w:p w14:paraId="5E0422DB"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3 – Change in ingredient costs</w:t>
      </w:r>
    </w:p>
    <w:p w14:paraId="5FBA1AAD"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4 – Change in manufacturing</w:t>
      </w:r>
    </w:p>
    <w:p w14:paraId="019E4701"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5 – Change in marketing &amp; advertising costs</w:t>
      </w:r>
    </w:p>
    <w:p w14:paraId="301690E9"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6 – Change in financial assistance</w:t>
      </w:r>
    </w:p>
    <w:p w14:paraId="6CC2002D"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7 – Change in R&amp;D costs</w:t>
      </w:r>
    </w:p>
    <w:p w14:paraId="698DB944"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8 – Change in rebates to PBMs/wholesalers</w:t>
      </w:r>
    </w:p>
    <w:p w14:paraId="7D09521F"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9 – Other rebate change</w:t>
      </w:r>
    </w:p>
    <w:p w14:paraId="69A06918"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10 – Change in supply (shortage or surplus)</w:t>
      </w:r>
    </w:p>
    <w:p w14:paraId="49ECA50B"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11 – Change in sales costs</w:t>
      </w:r>
    </w:p>
    <w:p w14:paraId="16848358" w14:textId="77777777"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12 – Change in state and federal taxes</w:t>
      </w:r>
    </w:p>
    <w:p w14:paraId="74AF9378" w14:textId="5AD93822" w:rsidR="001B5C5E" w:rsidRPr="001B5C5E" w:rsidRDefault="001B5C5E" w:rsidP="001B5C5E">
      <w:pPr>
        <w:ind w:left="720"/>
        <w:rPr>
          <w:rFonts w:asciiTheme="minorHAnsi" w:hAnsiTheme="minorHAnsi" w:cstheme="minorHAnsi"/>
          <w:sz w:val="24"/>
          <w:szCs w:val="24"/>
        </w:rPr>
      </w:pPr>
      <w:r w:rsidRPr="001B5C5E">
        <w:rPr>
          <w:rFonts w:asciiTheme="minorHAnsi" w:hAnsiTheme="minorHAnsi" w:cstheme="minorHAnsi"/>
          <w:sz w:val="24"/>
          <w:szCs w:val="24"/>
        </w:rPr>
        <w:t>13 – Change in profit targets</w:t>
      </w:r>
    </w:p>
    <w:p w14:paraId="5A4B635D" w14:textId="245B27BE" w:rsidR="001B5C5E" w:rsidRPr="008374F4" w:rsidRDefault="001B5C5E" w:rsidP="001B5C5E">
      <w:pPr>
        <w:ind w:left="720"/>
        <w:rPr>
          <w:rFonts w:asciiTheme="minorHAnsi" w:hAnsiTheme="minorHAnsi" w:cstheme="minorHAnsi"/>
          <w:sz w:val="24"/>
          <w:szCs w:val="24"/>
          <w:u w:val="single"/>
        </w:rPr>
      </w:pPr>
      <w:r w:rsidRPr="008374F4">
        <w:rPr>
          <w:rFonts w:asciiTheme="minorHAnsi" w:hAnsiTheme="minorHAnsi" w:cstheme="minorHAnsi"/>
          <w:sz w:val="24"/>
          <w:szCs w:val="24"/>
          <w:u w:val="single"/>
        </w:rPr>
        <w:t>14 – Change in supplier price (repackaged NDC)</w:t>
      </w:r>
    </w:p>
    <w:p w14:paraId="3ABD75FC" w14:textId="36C03D29" w:rsidR="001B5C5E" w:rsidRPr="001B5C5E" w:rsidRDefault="001B5C5E" w:rsidP="001B5C5E">
      <w:pPr>
        <w:ind w:left="720"/>
        <w:rPr>
          <w:rFonts w:asciiTheme="minorHAnsi" w:hAnsiTheme="minorHAnsi" w:cstheme="minorHAnsi"/>
          <w:bCs/>
          <w:sz w:val="24"/>
          <w:szCs w:val="24"/>
        </w:rPr>
      </w:pPr>
      <w:r w:rsidRPr="008374F4">
        <w:rPr>
          <w:rFonts w:asciiTheme="minorHAnsi" w:hAnsiTheme="minorHAnsi" w:cstheme="minorHAnsi"/>
          <w:sz w:val="24"/>
          <w:szCs w:val="24"/>
          <w:u w:val="single"/>
        </w:rPr>
        <w:t>15</w:t>
      </w:r>
      <w:r w:rsidRPr="001B5C5E">
        <w:rPr>
          <w:rFonts w:asciiTheme="minorHAnsi" w:hAnsiTheme="minorHAnsi" w:cstheme="minorHAnsi"/>
          <w:sz w:val="24"/>
          <w:szCs w:val="24"/>
        </w:rPr>
        <w:t xml:space="preserve"> – Other/Specify</w:t>
      </w:r>
    </w:p>
    <w:p w14:paraId="4027428C" w14:textId="77777777" w:rsidR="00063E5F" w:rsidRPr="004613C7" w:rsidRDefault="00063E5F" w:rsidP="00063E5F">
      <w:pPr>
        <w:spacing w:before="1"/>
        <w:rPr>
          <w:rFonts w:asciiTheme="minorHAnsi" w:eastAsia="Arial" w:hAnsiTheme="minorHAnsi" w:cs="Arial"/>
          <w:sz w:val="24"/>
          <w:szCs w:val="24"/>
        </w:rPr>
      </w:pPr>
    </w:p>
    <w:p w14:paraId="7BF7C16D" w14:textId="77777777" w:rsidR="00063E5F" w:rsidRDefault="00063E5F" w:rsidP="004613C7">
      <w:pPr>
        <w:spacing w:before="1"/>
        <w:rPr>
          <w:rFonts w:asciiTheme="minorHAnsi" w:eastAsia="Arial" w:hAnsiTheme="minorHAnsi" w:cs="Arial"/>
          <w:sz w:val="24"/>
          <w:szCs w:val="24"/>
        </w:rPr>
      </w:pPr>
    </w:p>
    <w:p w14:paraId="177D9EEA" w14:textId="1300CB84" w:rsidR="00063E5F" w:rsidRPr="00636F1F" w:rsidRDefault="00063E5F" w:rsidP="00063E5F">
      <w:pPr>
        <w:spacing w:before="1"/>
        <w:rPr>
          <w:rFonts w:asciiTheme="minorHAnsi" w:eastAsia="Arial" w:hAnsiTheme="minorHAnsi" w:cs="Arial"/>
          <w:b/>
          <w:sz w:val="24"/>
          <w:szCs w:val="24"/>
        </w:rPr>
      </w:pPr>
      <w:r w:rsidRPr="00636F1F">
        <w:rPr>
          <w:rFonts w:asciiTheme="minorHAnsi" w:eastAsia="Arial" w:hAnsiTheme="minorHAnsi" w:cs="Arial"/>
          <w:b/>
          <w:sz w:val="24"/>
          <w:szCs w:val="24"/>
        </w:rPr>
        <w:t xml:space="preserve">Comment </w:t>
      </w:r>
      <w:r>
        <w:rPr>
          <w:rFonts w:asciiTheme="minorHAnsi" w:eastAsia="Arial" w:hAnsiTheme="minorHAnsi" w:cs="Arial"/>
          <w:b/>
          <w:sz w:val="24"/>
          <w:szCs w:val="24"/>
        </w:rPr>
        <w:t>7</w:t>
      </w:r>
      <w:r w:rsidRPr="00636F1F">
        <w:rPr>
          <w:rFonts w:asciiTheme="minorHAnsi" w:eastAsia="Arial" w:hAnsiTheme="minorHAnsi" w:cs="Arial"/>
          <w:b/>
          <w:sz w:val="24"/>
          <w:szCs w:val="24"/>
        </w:rPr>
        <w:t xml:space="preserve">: </w:t>
      </w:r>
      <w:r>
        <w:rPr>
          <w:rFonts w:asciiTheme="minorHAnsi" w:eastAsia="Arial" w:hAnsiTheme="minorHAnsi" w:cs="Arial"/>
          <w:b/>
          <w:sz w:val="24"/>
          <w:szCs w:val="24"/>
        </w:rPr>
        <w:t xml:space="preserve"> (</w:t>
      </w:r>
      <w:r w:rsidRPr="00636F1F">
        <w:rPr>
          <w:rFonts w:asciiTheme="minorHAnsi" w:eastAsia="Arial" w:hAnsiTheme="minorHAnsi" w:cs="Arial"/>
          <w:b/>
          <w:sz w:val="24"/>
          <w:szCs w:val="24"/>
        </w:rPr>
        <w:t>Manufacturer Report, Section 2</w:t>
      </w:r>
      <w:r>
        <w:rPr>
          <w:rFonts w:asciiTheme="minorHAnsi" w:eastAsia="Arial" w:hAnsiTheme="minorHAnsi" w:cs="Arial"/>
          <w:b/>
          <w:sz w:val="24"/>
          <w:szCs w:val="24"/>
        </w:rPr>
        <w:t xml:space="preserve"> – Acquisition Price</w:t>
      </w:r>
      <w:r w:rsidRPr="00636F1F">
        <w:rPr>
          <w:rFonts w:asciiTheme="minorHAnsi" w:eastAsia="Arial" w:hAnsiTheme="minorHAnsi" w:cs="Arial"/>
          <w:b/>
          <w:sz w:val="24"/>
          <w:szCs w:val="24"/>
        </w:rPr>
        <w:t>)</w:t>
      </w:r>
    </w:p>
    <w:p w14:paraId="7D524C66" w14:textId="77777777" w:rsidR="00636F1F"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Acquisition Price</w:t>
      </w:r>
      <w:r w:rsidR="00636F1F">
        <w:rPr>
          <w:rFonts w:asciiTheme="minorHAnsi" w:eastAsia="Arial" w:hAnsiTheme="minorHAnsi" w:cs="Arial"/>
          <w:sz w:val="24"/>
          <w:szCs w:val="24"/>
        </w:rPr>
        <w:t xml:space="preserve"> - </w:t>
      </w:r>
      <w:r w:rsidRPr="004613C7">
        <w:rPr>
          <w:rFonts w:asciiTheme="minorHAnsi" w:eastAsia="Arial" w:hAnsiTheme="minorHAnsi" w:cs="Arial"/>
          <w:sz w:val="24"/>
          <w:szCs w:val="24"/>
        </w:rPr>
        <w:t xml:space="preserve">Because repackagers are a separate entity from manufacturers, a repackager is not privy to this information and therefore unable to report this data to MHDO. Again, it is imperative to view repackagers under a different lens than manufacturers to receive adequate, accurate data. </w:t>
      </w:r>
    </w:p>
    <w:p w14:paraId="1D10B149" w14:textId="6983B8B8" w:rsidR="004613C7"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 </w:t>
      </w:r>
    </w:p>
    <w:p w14:paraId="2CF2D376" w14:textId="08CF99AE" w:rsidR="00636F1F" w:rsidRPr="00507FCB" w:rsidRDefault="00636F1F" w:rsidP="00636F1F">
      <w:pPr>
        <w:autoSpaceDE w:val="0"/>
        <w:autoSpaceDN w:val="0"/>
        <w:adjustRightInd w:val="0"/>
        <w:rPr>
          <w:rFonts w:asciiTheme="minorHAnsi" w:hAnsiTheme="minorHAnsi" w:cs="TimesNewRomanPSMT"/>
          <w:bCs/>
          <w:sz w:val="24"/>
          <w:szCs w:val="24"/>
        </w:rPr>
      </w:pPr>
      <w:r w:rsidRPr="00CF634B">
        <w:rPr>
          <w:rFonts w:asciiTheme="minorHAnsi" w:hAnsiTheme="minorHAnsi" w:cs="Arial"/>
          <w:b/>
          <w:sz w:val="24"/>
          <w:szCs w:val="24"/>
        </w:rPr>
        <w:t xml:space="preserve">MHDO Staff Response:  </w:t>
      </w:r>
      <w:r w:rsidR="00507FCB">
        <w:rPr>
          <w:rFonts w:asciiTheme="minorHAnsi" w:hAnsiTheme="minorHAnsi" w:cs="Arial"/>
          <w:bCs/>
          <w:sz w:val="24"/>
          <w:szCs w:val="24"/>
        </w:rPr>
        <w:t xml:space="preserve">Manufacturers (including repackagers) are not required to provide an Acquisition Price unless the manufacturer has acquired the product within the previous </w:t>
      </w:r>
      <w:r w:rsidR="004E755B">
        <w:rPr>
          <w:rFonts w:asciiTheme="minorHAnsi" w:hAnsiTheme="minorHAnsi" w:cs="Arial"/>
          <w:bCs/>
          <w:sz w:val="24"/>
          <w:szCs w:val="24"/>
        </w:rPr>
        <w:t>five-year</w:t>
      </w:r>
      <w:r w:rsidR="00507FCB">
        <w:rPr>
          <w:rFonts w:asciiTheme="minorHAnsi" w:hAnsiTheme="minorHAnsi" w:cs="Arial"/>
          <w:bCs/>
          <w:sz w:val="24"/>
          <w:szCs w:val="24"/>
        </w:rPr>
        <w:t xml:space="preserve"> period.</w:t>
      </w:r>
    </w:p>
    <w:p w14:paraId="7AA71F5E" w14:textId="77777777" w:rsidR="00636F1F" w:rsidRPr="00CF634B" w:rsidRDefault="00636F1F" w:rsidP="00636F1F">
      <w:pPr>
        <w:rPr>
          <w:rFonts w:asciiTheme="minorHAnsi" w:hAnsiTheme="minorHAnsi" w:cs="Arial"/>
          <w:b/>
          <w:sz w:val="24"/>
          <w:szCs w:val="24"/>
        </w:rPr>
      </w:pPr>
    </w:p>
    <w:p w14:paraId="786B609E" w14:textId="49616F66" w:rsidR="00636F1F" w:rsidRDefault="00636F1F" w:rsidP="00636F1F">
      <w:pPr>
        <w:rPr>
          <w:rFonts w:asciiTheme="minorHAnsi" w:hAnsiTheme="minorHAnsi" w:cs="Arial"/>
          <w:b/>
          <w:sz w:val="24"/>
          <w:szCs w:val="24"/>
        </w:rPr>
      </w:pPr>
      <w:r w:rsidRPr="00CF634B">
        <w:rPr>
          <w:rFonts w:asciiTheme="minorHAnsi" w:hAnsiTheme="minorHAnsi" w:cs="Arial"/>
          <w:b/>
          <w:sz w:val="24"/>
          <w:szCs w:val="24"/>
        </w:rPr>
        <w:t xml:space="preserve">Recommended Board Action:  </w:t>
      </w:r>
      <w:r w:rsidR="00507FCB">
        <w:rPr>
          <w:rFonts w:asciiTheme="minorHAnsi" w:hAnsiTheme="minorHAnsi" w:cs="Arial"/>
          <w:bCs/>
          <w:sz w:val="24"/>
          <w:szCs w:val="24"/>
        </w:rPr>
        <w:t>No further action needed.</w:t>
      </w:r>
    </w:p>
    <w:p w14:paraId="2279926B" w14:textId="77777777" w:rsidR="00636F1F" w:rsidRPr="004613C7" w:rsidRDefault="00636F1F" w:rsidP="004613C7">
      <w:pPr>
        <w:spacing w:before="1"/>
        <w:rPr>
          <w:rFonts w:asciiTheme="minorHAnsi" w:eastAsia="Arial" w:hAnsiTheme="minorHAnsi" w:cs="Arial"/>
          <w:sz w:val="24"/>
          <w:szCs w:val="24"/>
        </w:rPr>
      </w:pPr>
    </w:p>
    <w:p w14:paraId="246DF2CC" w14:textId="77777777" w:rsidR="004613C7" w:rsidRPr="004613C7"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 </w:t>
      </w:r>
    </w:p>
    <w:p w14:paraId="28615081" w14:textId="4C8DFC4B" w:rsidR="001D6D92" w:rsidRPr="00636F1F" w:rsidRDefault="00636F1F" w:rsidP="004613C7">
      <w:pPr>
        <w:spacing w:before="1"/>
        <w:rPr>
          <w:rFonts w:asciiTheme="minorHAnsi" w:eastAsia="Arial" w:hAnsiTheme="minorHAnsi" w:cs="Arial"/>
          <w:b/>
          <w:sz w:val="24"/>
          <w:szCs w:val="24"/>
        </w:rPr>
      </w:pPr>
      <w:r>
        <w:rPr>
          <w:rFonts w:asciiTheme="minorHAnsi" w:eastAsia="Arial" w:hAnsiTheme="minorHAnsi" w:cs="Arial"/>
          <w:b/>
          <w:sz w:val="24"/>
          <w:szCs w:val="24"/>
        </w:rPr>
        <w:t xml:space="preserve">Comment </w:t>
      </w:r>
      <w:r w:rsidR="00063E5F">
        <w:rPr>
          <w:rFonts w:asciiTheme="minorHAnsi" w:eastAsia="Arial" w:hAnsiTheme="minorHAnsi" w:cs="Arial"/>
          <w:b/>
          <w:sz w:val="24"/>
          <w:szCs w:val="24"/>
        </w:rPr>
        <w:t>8</w:t>
      </w:r>
      <w:r>
        <w:rPr>
          <w:rFonts w:asciiTheme="minorHAnsi" w:eastAsia="Arial" w:hAnsiTheme="minorHAnsi" w:cs="Arial"/>
          <w:b/>
          <w:sz w:val="24"/>
          <w:szCs w:val="24"/>
        </w:rPr>
        <w:t>: (</w:t>
      </w:r>
      <w:r w:rsidR="004613C7" w:rsidRPr="00636F1F">
        <w:rPr>
          <w:rFonts w:asciiTheme="minorHAnsi" w:eastAsia="Arial" w:hAnsiTheme="minorHAnsi" w:cs="Arial"/>
          <w:b/>
          <w:sz w:val="24"/>
          <w:szCs w:val="24"/>
        </w:rPr>
        <w:t>Wholesale Drug Distributor Report</w:t>
      </w:r>
      <w:r>
        <w:rPr>
          <w:rFonts w:asciiTheme="minorHAnsi" w:eastAsia="Arial" w:hAnsiTheme="minorHAnsi" w:cs="Arial"/>
          <w:b/>
          <w:sz w:val="24"/>
          <w:szCs w:val="24"/>
        </w:rPr>
        <w:t>, Section 2</w:t>
      </w:r>
      <w:r w:rsidR="00063E5F">
        <w:rPr>
          <w:rFonts w:asciiTheme="minorHAnsi" w:eastAsia="Arial" w:hAnsiTheme="minorHAnsi" w:cs="Arial"/>
          <w:b/>
          <w:sz w:val="24"/>
          <w:szCs w:val="24"/>
        </w:rPr>
        <w:t xml:space="preserve"> – Total Rebate Receivable in the US</w:t>
      </w:r>
      <w:r>
        <w:rPr>
          <w:rFonts w:asciiTheme="minorHAnsi" w:eastAsia="Arial" w:hAnsiTheme="minorHAnsi" w:cs="Arial"/>
          <w:b/>
          <w:sz w:val="24"/>
          <w:szCs w:val="24"/>
        </w:rPr>
        <w:t>)</w:t>
      </w:r>
      <w:r w:rsidR="004613C7" w:rsidRPr="00636F1F">
        <w:rPr>
          <w:rFonts w:asciiTheme="minorHAnsi" w:eastAsia="Arial" w:hAnsiTheme="minorHAnsi" w:cs="Arial"/>
          <w:b/>
          <w:sz w:val="24"/>
          <w:szCs w:val="24"/>
        </w:rPr>
        <w:t xml:space="preserve"> </w:t>
      </w:r>
    </w:p>
    <w:p w14:paraId="258F3699" w14:textId="265CBBA0" w:rsidR="00636F1F"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Total Rebate Receivable in the U.S. </w:t>
      </w:r>
      <w:r w:rsidR="00636F1F">
        <w:rPr>
          <w:rFonts w:asciiTheme="minorHAnsi" w:eastAsia="Arial" w:hAnsiTheme="minorHAnsi" w:cs="Arial"/>
          <w:sz w:val="24"/>
          <w:szCs w:val="24"/>
        </w:rPr>
        <w:t xml:space="preserve">- </w:t>
      </w:r>
      <w:r w:rsidRPr="004613C7">
        <w:rPr>
          <w:rFonts w:asciiTheme="minorHAnsi" w:eastAsia="Arial" w:hAnsiTheme="minorHAnsi" w:cs="Arial"/>
          <w:sz w:val="24"/>
          <w:szCs w:val="24"/>
        </w:rPr>
        <w:t xml:space="preserve">As previously stated, HDA recommends MHDO utilize the federal definition of “rebate” to provide uniformity in the reporting requirements.  HDA respectfully asks that MHDO clarify if this applies to any entity, i.e., CMS. Please include if the total rebate receivable amount accrued represents the total amount of any rebates that will be paid to the wholesale drug distributor resulting from the purchase and/or sale of a drug product during the calendar year. Such data would appear to be irrelevant and could include proprietary data. </w:t>
      </w:r>
    </w:p>
    <w:p w14:paraId="4E96A1B2" w14:textId="77777777" w:rsidR="00063E5F" w:rsidRDefault="00063E5F" w:rsidP="004613C7">
      <w:pPr>
        <w:spacing w:before="1"/>
        <w:rPr>
          <w:rFonts w:asciiTheme="minorHAnsi" w:eastAsia="Arial" w:hAnsiTheme="minorHAnsi" w:cs="Arial"/>
          <w:sz w:val="24"/>
          <w:szCs w:val="24"/>
        </w:rPr>
      </w:pPr>
    </w:p>
    <w:p w14:paraId="1CED9A43" w14:textId="1F79AE60" w:rsidR="00635470" w:rsidRPr="008374F4" w:rsidRDefault="00063E5F" w:rsidP="00635470">
      <w:pPr>
        <w:autoSpaceDE w:val="0"/>
        <w:autoSpaceDN w:val="0"/>
        <w:adjustRightInd w:val="0"/>
        <w:rPr>
          <w:rFonts w:asciiTheme="minorHAnsi" w:hAnsiTheme="minorHAnsi" w:cs="Arial"/>
          <w:bCs/>
          <w:sz w:val="24"/>
          <w:szCs w:val="24"/>
        </w:rPr>
      </w:pPr>
      <w:r w:rsidRPr="00CF634B">
        <w:rPr>
          <w:rFonts w:asciiTheme="minorHAnsi" w:hAnsiTheme="minorHAnsi" w:cs="Arial"/>
          <w:b/>
          <w:sz w:val="24"/>
          <w:szCs w:val="24"/>
        </w:rPr>
        <w:t xml:space="preserve">MHDO Staff Response:  </w:t>
      </w:r>
      <w:r w:rsidR="00507FCB">
        <w:rPr>
          <w:rFonts w:asciiTheme="minorHAnsi" w:hAnsiTheme="minorHAnsi" w:cs="Arial"/>
          <w:bCs/>
          <w:sz w:val="24"/>
          <w:szCs w:val="24"/>
        </w:rPr>
        <w:t>Total Rebate Receivable in the US includes any and all rebates</w:t>
      </w:r>
      <w:r w:rsidR="004E755B">
        <w:rPr>
          <w:rFonts w:asciiTheme="minorHAnsi" w:hAnsiTheme="minorHAnsi" w:cs="Arial"/>
          <w:bCs/>
          <w:sz w:val="24"/>
          <w:szCs w:val="24"/>
        </w:rPr>
        <w:t>, as defined in Section 1(Q),</w:t>
      </w:r>
      <w:r w:rsidR="00635470">
        <w:rPr>
          <w:rFonts w:asciiTheme="minorHAnsi" w:hAnsiTheme="minorHAnsi" w:cs="Arial"/>
          <w:bCs/>
          <w:sz w:val="24"/>
          <w:szCs w:val="24"/>
        </w:rPr>
        <w:t xml:space="preserve"> for the drug product including the total amount of any rebates that will be paid to the wholesale drug distributor resulting from the purchase and/or sale of a drug product during the calendar year</w:t>
      </w:r>
      <w:r w:rsidR="009C35CF">
        <w:rPr>
          <w:rFonts w:asciiTheme="minorHAnsi" w:hAnsiTheme="minorHAnsi" w:cs="Arial"/>
          <w:bCs/>
          <w:sz w:val="24"/>
          <w:szCs w:val="24"/>
        </w:rPr>
        <w:t>.  Rebate values must be included</w:t>
      </w:r>
      <w:r w:rsidR="00635470">
        <w:rPr>
          <w:rFonts w:asciiTheme="minorHAnsi" w:hAnsiTheme="minorHAnsi" w:cs="Arial"/>
          <w:bCs/>
          <w:sz w:val="24"/>
          <w:szCs w:val="24"/>
        </w:rPr>
        <w:t xml:space="preserve"> regardless of the entity from which the rebate is receivable.</w:t>
      </w:r>
      <w:r w:rsidR="008374F4">
        <w:rPr>
          <w:rFonts w:asciiTheme="minorHAnsi" w:hAnsiTheme="minorHAnsi" w:cs="Arial"/>
          <w:bCs/>
          <w:sz w:val="24"/>
          <w:szCs w:val="24"/>
        </w:rPr>
        <w:t xml:space="preserve">  </w:t>
      </w:r>
      <w:r w:rsidR="00635470">
        <w:rPr>
          <w:rFonts w:asciiTheme="minorHAnsi" w:hAnsiTheme="minorHAnsi" w:cs="Arial"/>
          <w:bCs/>
          <w:sz w:val="24"/>
          <w:szCs w:val="24"/>
        </w:rPr>
        <w:t>MHDO cannot accurately calculate the cost of a drug product as it moves through the supply chain without accounting for all rebates provided to entities throughout.</w:t>
      </w:r>
    </w:p>
    <w:p w14:paraId="0812CAE3" w14:textId="77777777" w:rsidR="00063E5F" w:rsidRPr="00CF634B" w:rsidRDefault="00063E5F" w:rsidP="00063E5F">
      <w:pPr>
        <w:rPr>
          <w:rFonts w:asciiTheme="minorHAnsi" w:hAnsiTheme="minorHAnsi" w:cs="Arial"/>
          <w:b/>
          <w:sz w:val="24"/>
          <w:szCs w:val="24"/>
        </w:rPr>
      </w:pPr>
    </w:p>
    <w:p w14:paraId="53FE13A5" w14:textId="73DB3748" w:rsidR="00063E5F" w:rsidRPr="00635470" w:rsidRDefault="00063E5F" w:rsidP="00063E5F">
      <w:pPr>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635470">
        <w:rPr>
          <w:rFonts w:asciiTheme="minorHAnsi" w:hAnsiTheme="minorHAnsi" w:cs="Arial"/>
          <w:bCs/>
          <w:sz w:val="24"/>
          <w:szCs w:val="24"/>
        </w:rPr>
        <w:t>No further action needed.</w:t>
      </w:r>
    </w:p>
    <w:p w14:paraId="55448F16" w14:textId="03C608D4" w:rsidR="00063E5F" w:rsidRDefault="00063E5F" w:rsidP="00063E5F">
      <w:pPr>
        <w:spacing w:before="1"/>
        <w:rPr>
          <w:rFonts w:asciiTheme="minorHAnsi" w:eastAsia="Arial" w:hAnsiTheme="minorHAnsi" w:cs="Arial"/>
          <w:sz w:val="24"/>
          <w:szCs w:val="24"/>
        </w:rPr>
      </w:pPr>
    </w:p>
    <w:p w14:paraId="5F4D545A" w14:textId="77777777" w:rsidR="00063E5F" w:rsidRPr="004613C7" w:rsidRDefault="00063E5F" w:rsidP="00063E5F">
      <w:pPr>
        <w:spacing w:before="1"/>
        <w:rPr>
          <w:rFonts w:asciiTheme="minorHAnsi" w:eastAsia="Arial" w:hAnsiTheme="minorHAnsi" w:cs="Arial"/>
          <w:sz w:val="24"/>
          <w:szCs w:val="24"/>
        </w:rPr>
      </w:pPr>
    </w:p>
    <w:p w14:paraId="0793FF6C" w14:textId="18FF04AB" w:rsidR="00063E5F" w:rsidRPr="00636F1F" w:rsidRDefault="00063E5F" w:rsidP="00063E5F">
      <w:pPr>
        <w:spacing w:before="1"/>
        <w:rPr>
          <w:rFonts w:asciiTheme="minorHAnsi" w:eastAsia="Arial" w:hAnsiTheme="minorHAnsi" w:cs="Arial"/>
          <w:b/>
          <w:sz w:val="24"/>
          <w:szCs w:val="24"/>
        </w:rPr>
      </w:pPr>
      <w:r>
        <w:rPr>
          <w:rFonts w:asciiTheme="minorHAnsi" w:eastAsia="Arial" w:hAnsiTheme="minorHAnsi" w:cs="Arial"/>
          <w:b/>
          <w:sz w:val="24"/>
          <w:szCs w:val="24"/>
        </w:rPr>
        <w:t>Comment 9: (</w:t>
      </w:r>
      <w:r w:rsidRPr="00636F1F">
        <w:rPr>
          <w:rFonts w:asciiTheme="minorHAnsi" w:eastAsia="Arial" w:hAnsiTheme="minorHAnsi" w:cs="Arial"/>
          <w:b/>
          <w:sz w:val="24"/>
          <w:szCs w:val="24"/>
        </w:rPr>
        <w:t>Wholesale Drug Distributor Report</w:t>
      </w:r>
      <w:r>
        <w:rPr>
          <w:rFonts w:asciiTheme="minorHAnsi" w:eastAsia="Arial" w:hAnsiTheme="minorHAnsi" w:cs="Arial"/>
          <w:b/>
          <w:sz w:val="24"/>
          <w:szCs w:val="24"/>
        </w:rPr>
        <w:t>, Section 2 – Revenue in the US)</w:t>
      </w:r>
      <w:r w:rsidRPr="00636F1F">
        <w:rPr>
          <w:rFonts w:asciiTheme="minorHAnsi" w:eastAsia="Arial" w:hAnsiTheme="minorHAnsi" w:cs="Arial"/>
          <w:b/>
          <w:sz w:val="24"/>
          <w:szCs w:val="24"/>
        </w:rPr>
        <w:t xml:space="preserve"> </w:t>
      </w:r>
    </w:p>
    <w:p w14:paraId="541ADEFD" w14:textId="77777777" w:rsidR="00636F1F"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Revenue in the U.S. </w:t>
      </w:r>
      <w:r w:rsidR="00636F1F">
        <w:rPr>
          <w:rFonts w:asciiTheme="minorHAnsi" w:eastAsia="Arial" w:hAnsiTheme="minorHAnsi" w:cs="Arial"/>
          <w:sz w:val="24"/>
          <w:szCs w:val="24"/>
        </w:rPr>
        <w:t xml:space="preserve">- </w:t>
      </w:r>
      <w:r w:rsidRPr="004613C7">
        <w:rPr>
          <w:rFonts w:asciiTheme="minorHAnsi" w:eastAsia="Arial" w:hAnsiTheme="minorHAnsi" w:cs="Arial"/>
          <w:sz w:val="24"/>
          <w:szCs w:val="24"/>
        </w:rPr>
        <w:t xml:space="preserve">HDA asks for clarity around the term revenue as it pertains to wholesale distributors in this report. Further, HDA requests MHDO clarify if Revenue from Sales may be provided net of processed returns if all other data components are also provided net of returns. </w:t>
      </w:r>
    </w:p>
    <w:p w14:paraId="06907C2B" w14:textId="42321948" w:rsidR="00636F1F" w:rsidRDefault="00636F1F" w:rsidP="004613C7">
      <w:pPr>
        <w:spacing w:before="1"/>
        <w:rPr>
          <w:rFonts w:asciiTheme="minorHAnsi" w:eastAsia="Arial" w:hAnsiTheme="minorHAnsi" w:cs="Arial"/>
          <w:sz w:val="24"/>
          <w:szCs w:val="24"/>
        </w:rPr>
      </w:pPr>
    </w:p>
    <w:p w14:paraId="1110C876" w14:textId="6EF2B5EA" w:rsidR="00063E5F" w:rsidRPr="002A3F4C" w:rsidRDefault="00063E5F" w:rsidP="00063E5F">
      <w:pPr>
        <w:autoSpaceDE w:val="0"/>
        <w:autoSpaceDN w:val="0"/>
        <w:adjustRightInd w:val="0"/>
        <w:rPr>
          <w:rFonts w:asciiTheme="minorHAnsi" w:hAnsiTheme="minorHAnsi" w:cstheme="minorHAnsi"/>
          <w:sz w:val="24"/>
          <w:szCs w:val="24"/>
        </w:rPr>
      </w:pPr>
      <w:r w:rsidRPr="00CF634B">
        <w:rPr>
          <w:rFonts w:asciiTheme="minorHAnsi" w:hAnsiTheme="minorHAnsi" w:cs="Arial"/>
          <w:b/>
          <w:sz w:val="24"/>
          <w:szCs w:val="24"/>
        </w:rPr>
        <w:t xml:space="preserve">MHDO Staff Response:  </w:t>
      </w:r>
      <w:r w:rsidR="002A3F4C" w:rsidRPr="002A3F4C">
        <w:rPr>
          <w:rFonts w:asciiTheme="minorHAnsi" w:hAnsiTheme="minorHAnsi" w:cstheme="minorHAnsi"/>
          <w:sz w:val="24"/>
          <w:szCs w:val="24"/>
        </w:rPr>
        <w:t xml:space="preserve">Revenue </w:t>
      </w:r>
      <w:r w:rsidR="002A3F4C">
        <w:rPr>
          <w:rFonts w:asciiTheme="minorHAnsi" w:hAnsiTheme="minorHAnsi" w:cstheme="minorHAnsi"/>
          <w:sz w:val="24"/>
          <w:szCs w:val="24"/>
        </w:rPr>
        <w:t>in the US</w:t>
      </w:r>
      <w:r w:rsidR="00EF531B" w:rsidRPr="00EF531B">
        <w:rPr>
          <w:color w:val="7030A0"/>
        </w:rPr>
        <w:t xml:space="preserve"> </w:t>
      </w:r>
      <w:r w:rsidR="00EF531B" w:rsidRPr="00EF531B">
        <w:rPr>
          <w:rFonts w:asciiTheme="minorHAnsi" w:hAnsiTheme="minorHAnsi" w:cstheme="minorHAnsi"/>
          <w:sz w:val="24"/>
          <w:szCs w:val="24"/>
        </w:rPr>
        <w:t>is the total amount invoiced and accrued as receivable</w:t>
      </w:r>
      <w:r w:rsidR="00EF531B">
        <w:rPr>
          <w:rFonts w:asciiTheme="minorHAnsi" w:hAnsiTheme="minorHAnsi" w:cstheme="minorHAnsi"/>
          <w:sz w:val="24"/>
          <w:szCs w:val="24"/>
        </w:rPr>
        <w:t>, including amounts recognized at the time of sale,</w:t>
      </w:r>
      <w:r w:rsidR="00EF531B" w:rsidRPr="00EF531B">
        <w:rPr>
          <w:rFonts w:asciiTheme="minorHAnsi" w:hAnsiTheme="minorHAnsi" w:cstheme="minorHAnsi"/>
          <w:sz w:val="24"/>
          <w:szCs w:val="24"/>
        </w:rPr>
        <w:t xml:space="preserve"> for the sale of the drug product during the prior calendar year</w:t>
      </w:r>
      <w:r w:rsidR="002A3F4C">
        <w:rPr>
          <w:rFonts w:asciiTheme="minorHAnsi" w:hAnsiTheme="minorHAnsi" w:cstheme="minorHAnsi"/>
          <w:sz w:val="24"/>
          <w:szCs w:val="24"/>
        </w:rPr>
        <w:t xml:space="preserve">.  MHDO </w:t>
      </w:r>
      <w:r w:rsidR="00EF531B">
        <w:rPr>
          <w:rFonts w:asciiTheme="minorHAnsi" w:hAnsiTheme="minorHAnsi" w:cstheme="minorHAnsi"/>
          <w:sz w:val="24"/>
          <w:szCs w:val="24"/>
        </w:rPr>
        <w:t>agrees to</w:t>
      </w:r>
      <w:r w:rsidR="002A3F4C">
        <w:rPr>
          <w:rFonts w:asciiTheme="minorHAnsi" w:hAnsiTheme="minorHAnsi" w:cstheme="minorHAnsi"/>
          <w:sz w:val="24"/>
          <w:szCs w:val="24"/>
        </w:rPr>
        <w:t xml:space="preserve"> add clarifying language </w:t>
      </w:r>
      <w:r w:rsidR="00EF531B">
        <w:rPr>
          <w:rFonts w:asciiTheme="minorHAnsi" w:hAnsiTheme="minorHAnsi" w:cstheme="minorHAnsi"/>
          <w:sz w:val="24"/>
          <w:szCs w:val="24"/>
        </w:rPr>
        <w:t>that</w:t>
      </w:r>
      <w:r w:rsidR="002A3F4C">
        <w:rPr>
          <w:rFonts w:asciiTheme="minorHAnsi" w:hAnsiTheme="minorHAnsi" w:cstheme="minorHAnsi"/>
          <w:sz w:val="24"/>
          <w:szCs w:val="24"/>
        </w:rPr>
        <w:t xml:space="preserve"> data value</w:t>
      </w:r>
      <w:r w:rsidR="00EF531B">
        <w:rPr>
          <w:rFonts w:asciiTheme="minorHAnsi" w:hAnsiTheme="minorHAnsi" w:cstheme="minorHAnsi"/>
          <w:sz w:val="24"/>
          <w:szCs w:val="24"/>
        </w:rPr>
        <w:t xml:space="preserve">s </w:t>
      </w:r>
      <w:r w:rsidR="00AD23CB">
        <w:rPr>
          <w:rFonts w:asciiTheme="minorHAnsi" w:hAnsiTheme="minorHAnsi" w:cstheme="minorHAnsi"/>
          <w:sz w:val="24"/>
          <w:szCs w:val="24"/>
        </w:rPr>
        <w:t xml:space="preserve">should </w:t>
      </w:r>
      <w:r w:rsidR="00EF531B">
        <w:rPr>
          <w:rFonts w:asciiTheme="minorHAnsi" w:hAnsiTheme="minorHAnsi" w:cstheme="minorHAnsi"/>
          <w:sz w:val="24"/>
          <w:szCs w:val="24"/>
        </w:rPr>
        <w:t>be</w:t>
      </w:r>
      <w:r w:rsidR="002A3F4C">
        <w:rPr>
          <w:rFonts w:asciiTheme="minorHAnsi" w:hAnsiTheme="minorHAnsi" w:cstheme="minorHAnsi"/>
          <w:sz w:val="24"/>
          <w:szCs w:val="24"/>
        </w:rPr>
        <w:t xml:space="preserve"> provided net of returns</w:t>
      </w:r>
      <w:r w:rsidR="00EF531B">
        <w:rPr>
          <w:rFonts w:asciiTheme="minorHAnsi" w:hAnsiTheme="minorHAnsi" w:cstheme="minorHAnsi"/>
          <w:sz w:val="24"/>
          <w:szCs w:val="24"/>
        </w:rPr>
        <w:t>.</w:t>
      </w:r>
    </w:p>
    <w:p w14:paraId="4BE700FA" w14:textId="77777777" w:rsidR="00063E5F" w:rsidRPr="00CF634B" w:rsidRDefault="00063E5F" w:rsidP="00063E5F">
      <w:pPr>
        <w:rPr>
          <w:rFonts w:asciiTheme="minorHAnsi" w:hAnsiTheme="minorHAnsi" w:cs="Arial"/>
          <w:b/>
          <w:sz w:val="24"/>
          <w:szCs w:val="24"/>
        </w:rPr>
      </w:pPr>
    </w:p>
    <w:p w14:paraId="18E74F14" w14:textId="69B84F24" w:rsidR="00EF531B" w:rsidRDefault="00063E5F" w:rsidP="00EF531B">
      <w:pPr>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EF531B">
        <w:rPr>
          <w:rFonts w:asciiTheme="minorHAnsi" w:hAnsiTheme="minorHAnsi" w:cs="Arial"/>
          <w:bCs/>
          <w:sz w:val="24"/>
          <w:szCs w:val="24"/>
        </w:rPr>
        <w:t>Amend Section 2(J) as follows:</w:t>
      </w:r>
    </w:p>
    <w:p w14:paraId="30CA73F5" w14:textId="77777777" w:rsidR="00EF531B" w:rsidRDefault="00EF531B" w:rsidP="00EF531B">
      <w:pPr>
        <w:pStyle w:val="BodyTextIndent"/>
        <w:keepNext/>
        <w:keepLines/>
        <w:tabs>
          <w:tab w:val="left" w:pos="720"/>
          <w:tab w:val="left" w:pos="1440"/>
          <w:tab w:val="left" w:pos="2340"/>
          <w:tab w:val="left" w:pos="3600"/>
          <w:tab w:val="left" w:pos="4320"/>
        </w:tabs>
        <w:ind w:left="0"/>
        <w:rPr>
          <w:rFonts w:ascii="Times New Roman" w:hAnsi="Times New Roman"/>
          <w:b/>
          <w:szCs w:val="22"/>
        </w:rPr>
      </w:pPr>
    </w:p>
    <w:p w14:paraId="396EB792" w14:textId="19F241A1" w:rsidR="00EF531B" w:rsidRPr="003924E5" w:rsidRDefault="00EF531B" w:rsidP="00EF531B">
      <w:pPr>
        <w:pStyle w:val="BodyTextIndent"/>
        <w:keepNext/>
        <w:keepLines/>
        <w:tabs>
          <w:tab w:val="left" w:pos="720"/>
          <w:tab w:val="left" w:pos="1440"/>
          <w:tab w:val="left" w:pos="2340"/>
          <w:tab w:val="left" w:pos="3600"/>
          <w:tab w:val="left" w:pos="4320"/>
        </w:tabs>
        <w:ind w:left="720"/>
        <w:rPr>
          <w:rFonts w:asciiTheme="minorHAnsi" w:hAnsiTheme="minorHAnsi" w:cstheme="minorHAnsi"/>
          <w:sz w:val="24"/>
          <w:szCs w:val="24"/>
          <w:u w:val="single"/>
        </w:rPr>
      </w:pPr>
      <w:r w:rsidRPr="00EF531B">
        <w:rPr>
          <w:rFonts w:asciiTheme="minorHAnsi" w:hAnsiTheme="minorHAnsi" w:cstheme="minorHAnsi"/>
          <w:b/>
          <w:sz w:val="24"/>
          <w:szCs w:val="24"/>
        </w:rPr>
        <w:t xml:space="preserve">Reporting Specifications. </w:t>
      </w:r>
      <w:r w:rsidRPr="00EF531B">
        <w:rPr>
          <w:rFonts w:asciiTheme="minorHAnsi" w:hAnsiTheme="minorHAnsi" w:cstheme="minorHAnsi"/>
          <w:sz w:val="24"/>
          <w:szCs w:val="24"/>
        </w:rPr>
        <w:t xml:space="preserve">For each drug product NDC indicated in the MHDO notice, the reporting entity must report the following data.  </w:t>
      </w:r>
      <w:r w:rsidRPr="003924E5">
        <w:rPr>
          <w:rFonts w:asciiTheme="minorHAnsi" w:hAnsiTheme="minorHAnsi" w:cstheme="minorHAnsi"/>
          <w:sz w:val="24"/>
          <w:szCs w:val="24"/>
          <w:u w:val="single"/>
        </w:rPr>
        <w:t xml:space="preserve">Data related to sales volume, acquisition volume, revenue, acquisition amount, and rebates </w:t>
      </w:r>
      <w:r w:rsidR="00AD23CB">
        <w:rPr>
          <w:rFonts w:asciiTheme="minorHAnsi" w:hAnsiTheme="minorHAnsi" w:cstheme="minorHAnsi"/>
          <w:sz w:val="24"/>
          <w:szCs w:val="24"/>
          <w:u w:val="single"/>
        </w:rPr>
        <w:t>should</w:t>
      </w:r>
      <w:r w:rsidR="00AD23CB" w:rsidRPr="003924E5">
        <w:rPr>
          <w:rFonts w:asciiTheme="minorHAnsi" w:hAnsiTheme="minorHAnsi" w:cstheme="minorHAnsi"/>
          <w:sz w:val="24"/>
          <w:szCs w:val="24"/>
          <w:u w:val="single"/>
        </w:rPr>
        <w:t xml:space="preserve"> </w:t>
      </w:r>
      <w:r w:rsidRPr="003924E5">
        <w:rPr>
          <w:rFonts w:asciiTheme="minorHAnsi" w:hAnsiTheme="minorHAnsi" w:cstheme="minorHAnsi"/>
          <w:sz w:val="24"/>
          <w:szCs w:val="24"/>
          <w:u w:val="single"/>
        </w:rPr>
        <w:t>be provided net of returns.</w:t>
      </w:r>
    </w:p>
    <w:p w14:paraId="20FD889D" w14:textId="77777777" w:rsidR="00EF531B" w:rsidRDefault="00EF531B" w:rsidP="00063E5F">
      <w:pPr>
        <w:spacing w:before="1"/>
        <w:rPr>
          <w:rFonts w:asciiTheme="minorHAnsi" w:eastAsia="Arial" w:hAnsiTheme="minorHAnsi" w:cs="Arial"/>
          <w:sz w:val="24"/>
          <w:szCs w:val="24"/>
        </w:rPr>
      </w:pPr>
    </w:p>
    <w:p w14:paraId="75455383" w14:textId="77777777" w:rsidR="00063E5F" w:rsidRPr="004613C7" w:rsidRDefault="00063E5F" w:rsidP="00063E5F">
      <w:pPr>
        <w:spacing w:before="1"/>
        <w:rPr>
          <w:rFonts w:asciiTheme="minorHAnsi" w:eastAsia="Arial" w:hAnsiTheme="minorHAnsi" w:cs="Arial"/>
          <w:sz w:val="24"/>
          <w:szCs w:val="24"/>
        </w:rPr>
      </w:pPr>
    </w:p>
    <w:p w14:paraId="53BA7D2B" w14:textId="45A74938" w:rsidR="00063E5F" w:rsidRPr="00636F1F" w:rsidRDefault="00063E5F" w:rsidP="00063E5F">
      <w:pPr>
        <w:spacing w:before="1"/>
        <w:rPr>
          <w:rFonts w:asciiTheme="minorHAnsi" w:eastAsia="Arial" w:hAnsiTheme="minorHAnsi" w:cs="Arial"/>
          <w:b/>
          <w:sz w:val="24"/>
          <w:szCs w:val="24"/>
        </w:rPr>
      </w:pPr>
      <w:r>
        <w:rPr>
          <w:rFonts w:asciiTheme="minorHAnsi" w:eastAsia="Arial" w:hAnsiTheme="minorHAnsi" w:cs="Arial"/>
          <w:b/>
          <w:sz w:val="24"/>
          <w:szCs w:val="24"/>
        </w:rPr>
        <w:t>Comment 10: (</w:t>
      </w:r>
      <w:r w:rsidRPr="00636F1F">
        <w:rPr>
          <w:rFonts w:asciiTheme="minorHAnsi" w:eastAsia="Arial" w:hAnsiTheme="minorHAnsi" w:cs="Arial"/>
          <w:b/>
          <w:sz w:val="24"/>
          <w:szCs w:val="24"/>
        </w:rPr>
        <w:t>Wholesale Drug Distributor Report</w:t>
      </w:r>
      <w:r>
        <w:rPr>
          <w:rFonts w:asciiTheme="minorHAnsi" w:eastAsia="Arial" w:hAnsiTheme="minorHAnsi" w:cs="Arial"/>
          <w:b/>
          <w:sz w:val="24"/>
          <w:szCs w:val="24"/>
        </w:rPr>
        <w:t>, Section 2 – Total Rebate Payable Amount in US)</w:t>
      </w:r>
      <w:r w:rsidRPr="00636F1F">
        <w:rPr>
          <w:rFonts w:asciiTheme="minorHAnsi" w:eastAsia="Arial" w:hAnsiTheme="minorHAnsi" w:cs="Arial"/>
          <w:b/>
          <w:sz w:val="24"/>
          <w:szCs w:val="24"/>
        </w:rPr>
        <w:t xml:space="preserve"> </w:t>
      </w:r>
    </w:p>
    <w:p w14:paraId="290840B5" w14:textId="74278862" w:rsidR="004613C7" w:rsidRDefault="004613C7" w:rsidP="004613C7">
      <w:pPr>
        <w:spacing w:before="1"/>
        <w:rPr>
          <w:rFonts w:asciiTheme="minorHAnsi" w:eastAsia="Arial" w:hAnsiTheme="minorHAnsi" w:cs="Arial"/>
          <w:sz w:val="24"/>
          <w:szCs w:val="24"/>
        </w:rPr>
      </w:pPr>
      <w:r w:rsidRPr="004613C7">
        <w:rPr>
          <w:rFonts w:asciiTheme="minorHAnsi" w:eastAsia="Arial" w:hAnsiTheme="minorHAnsi" w:cs="Arial"/>
          <w:sz w:val="24"/>
          <w:szCs w:val="24"/>
        </w:rPr>
        <w:t xml:space="preserve">Total Rebate Payable Amount in U.S. </w:t>
      </w:r>
      <w:r w:rsidR="00636F1F">
        <w:rPr>
          <w:rFonts w:asciiTheme="minorHAnsi" w:eastAsia="Arial" w:hAnsiTheme="minorHAnsi" w:cs="Arial"/>
          <w:sz w:val="24"/>
          <w:szCs w:val="24"/>
        </w:rPr>
        <w:t xml:space="preserve">- </w:t>
      </w:r>
      <w:r w:rsidRPr="004613C7">
        <w:rPr>
          <w:rFonts w:asciiTheme="minorHAnsi" w:eastAsia="Arial" w:hAnsiTheme="minorHAnsi" w:cs="Arial"/>
          <w:sz w:val="24"/>
          <w:szCs w:val="24"/>
        </w:rPr>
        <w:t xml:space="preserve">HDA requests MHDO include whether this value represents the prior calendar year aggregate value of WAC at the time of purchase, multiplied by units purchased. If a wholesaler contracts to acquire drug products using a different cost basis, the aggregate value of that cost basis, multiplied by units purchased would appear more appropriate. </w:t>
      </w:r>
    </w:p>
    <w:p w14:paraId="2BA8103D" w14:textId="77777777" w:rsidR="00636F1F" w:rsidRDefault="00636F1F" w:rsidP="004613C7">
      <w:pPr>
        <w:spacing w:before="1"/>
        <w:rPr>
          <w:rFonts w:asciiTheme="minorHAnsi" w:eastAsia="Arial" w:hAnsiTheme="minorHAnsi" w:cs="Arial"/>
          <w:sz w:val="24"/>
          <w:szCs w:val="24"/>
        </w:rPr>
      </w:pPr>
    </w:p>
    <w:p w14:paraId="5A637BDB" w14:textId="2FC0939D" w:rsidR="00636F1F" w:rsidRPr="003F50C2" w:rsidRDefault="00636F1F" w:rsidP="009C35CF">
      <w:pPr>
        <w:autoSpaceDE w:val="0"/>
        <w:autoSpaceDN w:val="0"/>
        <w:adjustRightInd w:val="0"/>
        <w:jc w:val="both"/>
        <w:rPr>
          <w:rFonts w:asciiTheme="minorHAnsi" w:hAnsiTheme="minorHAnsi" w:cstheme="minorHAnsi"/>
          <w:b/>
          <w:sz w:val="24"/>
          <w:szCs w:val="24"/>
        </w:rPr>
      </w:pPr>
      <w:r w:rsidRPr="00CF634B">
        <w:rPr>
          <w:rFonts w:asciiTheme="minorHAnsi" w:hAnsiTheme="minorHAnsi" w:cs="Arial"/>
          <w:b/>
          <w:sz w:val="24"/>
          <w:szCs w:val="24"/>
        </w:rPr>
        <w:t xml:space="preserve">MHDO Staff Response:  </w:t>
      </w:r>
      <w:r w:rsidR="003F50C2" w:rsidRPr="003F50C2">
        <w:rPr>
          <w:rFonts w:asciiTheme="minorHAnsi" w:hAnsiTheme="minorHAnsi" w:cstheme="minorHAnsi"/>
          <w:sz w:val="24"/>
          <w:szCs w:val="24"/>
        </w:rPr>
        <w:t>Total Rebate Payable Amount in US represents the total amount of any rebates, as defined in Section 1(Q), that will be paid by the wholesale drug distributor to any entity resulting from the purchase and/or sale of a drug product during the calendar year. </w:t>
      </w:r>
    </w:p>
    <w:p w14:paraId="183B9A90" w14:textId="41A5348B" w:rsidR="003F50C2" w:rsidRPr="003F50C2" w:rsidRDefault="003F50C2" w:rsidP="00636F1F">
      <w:pPr>
        <w:jc w:val="both"/>
        <w:rPr>
          <w:rFonts w:asciiTheme="minorHAnsi" w:hAnsiTheme="minorHAnsi" w:cstheme="minorHAnsi"/>
          <w:b/>
          <w:sz w:val="24"/>
          <w:szCs w:val="24"/>
        </w:rPr>
      </w:pPr>
    </w:p>
    <w:p w14:paraId="79DD951B" w14:textId="367D1E78" w:rsidR="003F50C2" w:rsidRPr="003F50C2" w:rsidRDefault="003F50C2" w:rsidP="00636F1F">
      <w:pPr>
        <w:jc w:val="both"/>
        <w:rPr>
          <w:rFonts w:asciiTheme="minorHAnsi" w:hAnsiTheme="minorHAnsi" w:cstheme="minorHAnsi"/>
          <w:sz w:val="24"/>
          <w:szCs w:val="24"/>
        </w:rPr>
      </w:pPr>
      <w:r w:rsidRPr="003F50C2">
        <w:rPr>
          <w:rFonts w:asciiTheme="minorHAnsi" w:hAnsiTheme="minorHAnsi" w:cstheme="minorHAnsi"/>
          <w:sz w:val="24"/>
          <w:szCs w:val="24"/>
        </w:rPr>
        <w:t xml:space="preserve">HDA's comment appears to be oriented to the definition of Total Acquisition Amount in US.  Total Acquisition Amount in US represents all amounts paid by the wholesale drug distributor to acquire the drug product during the calendar year.  While MHDO anticipates that this value will represent the prior calendar year aggregate value of WAC at the time of purchase </w:t>
      </w:r>
      <w:r w:rsidR="00AD23CB">
        <w:rPr>
          <w:rFonts w:asciiTheme="minorHAnsi" w:hAnsiTheme="minorHAnsi" w:cstheme="minorHAnsi"/>
          <w:sz w:val="24"/>
          <w:szCs w:val="24"/>
        </w:rPr>
        <w:t>multiplied by</w:t>
      </w:r>
      <w:r w:rsidRPr="003F50C2">
        <w:rPr>
          <w:rFonts w:asciiTheme="minorHAnsi" w:hAnsiTheme="minorHAnsi" w:cstheme="minorHAnsi"/>
          <w:sz w:val="24"/>
          <w:szCs w:val="24"/>
        </w:rPr>
        <w:t xml:space="preserve"> units purchased, if a wholesaler contracts to acquire drug products using an alternative cost basis, the aggregate value of </w:t>
      </w:r>
      <w:r w:rsidR="00AD23CB">
        <w:rPr>
          <w:rFonts w:asciiTheme="minorHAnsi" w:hAnsiTheme="minorHAnsi" w:cstheme="minorHAnsi"/>
          <w:sz w:val="24"/>
          <w:szCs w:val="24"/>
        </w:rPr>
        <w:t xml:space="preserve">such </w:t>
      </w:r>
      <w:r w:rsidRPr="003F50C2">
        <w:rPr>
          <w:rFonts w:asciiTheme="minorHAnsi" w:hAnsiTheme="minorHAnsi" w:cstheme="minorHAnsi"/>
          <w:sz w:val="24"/>
          <w:szCs w:val="24"/>
        </w:rPr>
        <w:t xml:space="preserve">alternative cost basis </w:t>
      </w:r>
      <w:r w:rsidR="00AD23CB">
        <w:rPr>
          <w:rFonts w:asciiTheme="minorHAnsi" w:hAnsiTheme="minorHAnsi" w:cstheme="minorHAnsi"/>
          <w:sz w:val="24"/>
          <w:szCs w:val="24"/>
        </w:rPr>
        <w:t>multiplied by</w:t>
      </w:r>
      <w:r w:rsidRPr="003F50C2">
        <w:rPr>
          <w:rFonts w:asciiTheme="minorHAnsi" w:hAnsiTheme="minorHAnsi" w:cstheme="minorHAnsi"/>
          <w:sz w:val="24"/>
          <w:szCs w:val="24"/>
        </w:rPr>
        <w:t xml:space="preserve"> units purchased should be provided.</w:t>
      </w:r>
    </w:p>
    <w:p w14:paraId="00877DD6" w14:textId="77777777" w:rsidR="003F50C2" w:rsidRPr="00CF634B" w:rsidRDefault="003F50C2" w:rsidP="00636F1F">
      <w:pPr>
        <w:jc w:val="both"/>
        <w:rPr>
          <w:rFonts w:asciiTheme="minorHAnsi" w:hAnsiTheme="minorHAnsi" w:cs="Arial"/>
          <w:b/>
          <w:sz w:val="24"/>
          <w:szCs w:val="24"/>
        </w:rPr>
      </w:pPr>
    </w:p>
    <w:p w14:paraId="35936F74" w14:textId="320D2FCF" w:rsidR="00636F1F" w:rsidRDefault="00636F1F" w:rsidP="00636F1F">
      <w:pPr>
        <w:jc w:val="both"/>
        <w:rPr>
          <w:rFonts w:asciiTheme="minorHAnsi" w:hAnsiTheme="minorHAnsi" w:cs="Arial"/>
          <w:b/>
          <w:sz w:val="24"/>
          <w:szCs w:val="24"/>
        </w:rPr>
      </w:pPr>
      <w:r w:rsidRPr="00CF634B">
        <w:rPr>
          <w:rFonts w:asciiTheme="minorHAnsi" w:hAnsiTheme="minorHAnsi" w:cs="Arial"/>
          <w:b/>
          <w:sz w:val="24"/>
          <w:szCs w:val="24"/>
        </w:rPr>
        <w:t xml:space="preserve">Recommended Board Action:  </w:t>
      </w:r>
      <w:r w:rsidR="003F50C2">
        <w:rPr>
          <w:rFonts w:asciiTheme="minorHAnsi" w:hAnsiTheme="minorHAnsi" w:cs="Arial"/>
          <w:bCs/>
          <w:sz w:val="24"/>
          <w:szCs w:val="24"/>
        </w:rPr>
        <w:t>No further action needed.</w:t>
      </w:r>
    </w:p>
    <w:p w14:paraId="597DBED2" w14:textId="09EBAE7A" w:rsidR="0062788D" w:rsidRDefault="0062788D" w:rsidP="00636F1F">
      <w:pPr>
        <w:jc w:val="both"/>
        <w:rPr>
          <w:rFonts w:asciiTheme="minorHAnsi" w:hAnsiTheme="minorHAnsi" w:cs="Arial"/>
          <w:b/>
          <w:sz w:val="24"/>
          <w:szCs w:val="24"/>
        </w:rPr>
      </w:pPr>
    </w:p>
    <w:p w14:paraId="319139E4" w14:textId="77777777" w:rsidR="009C35CF" w:rsidRDefault="009C35CF" w:rsidP="00636F1F">
      <w:pPr>
        <w:jc w:val="both"/>
        <w:rPr>
          <w:rFonts w:asciiTheme="minorHAnsi" w:hAnsiTheme="minorHAnsi" w:cs="Arial"/>
          <w:b/>
          <w:sz w:val="24"/>
          <w:szCs w:val="24"/>
        </w:rPr>
      </w:pPr>
    </w:p>
    <w:p w14:paraId="43FC996A" w14:textId="171B2DC9" w:rsidR="0062788D" w:rsidRDefault="0062788D" w:rsidP="0062788D">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Nicolas Doherty, PhRMA </w:t>
      </w:r>
      <w:r w:rsidRPr="00A748FA">
        <w:rPr>
          <w:rFonts w:asciiTheme="minorHAnsi" w:hAnsiTheme="minorHAnsi" w:cs="Arial"/>
          <w:sz w:val="24"/>
          <w:szCs w:val="24"/>
        </w:rPr>
        <w:t>submitted the following comments:</w:t>
      </w:r>
    </w:p>
    <w:p w14:paraId="7FABCD9A" w14:textId="30DFFC14" w:rsidR="00C1504D" w:rsidRDefault="00505EF7" w:rsidP="0062788D">
      <w:pPr>
        <w:rPr>
          <w:rFonts w:asciiTheme="minorHAnsi" w:hAnsiTheme="minorHAnsi" w:cs="Arial"/>
          <w:sz w:val="24"/>
          <w:szCs w:val="24"/>
        </w:rPr>
      </w:pPr>
      <w:r w:rsidRPr="00C1504D">
        <w:rPr>
          <w:rFonts w:asciiTheme="minorHAnsi" w:hAnsiTheme="minorHAnsi" w:cs="Arial"/>
          <w:b/>
          <w:sz w:val="24"/>
          <w:szCs w:val="24"/>
        </w:rPr>
        <w:t>Comment 1:</w:t>
      </w:r>
      <w:r>
        <w:rPr>
          <w:rFonts w:asciiTheme="minorHAnsi" w:hAnsiTheme="minorHAnsi" w:cs="Arial"/>
          <w:sz w:val="24"/>
          <w:szCs w:val="24"/>
        </w:rPr>
        <w:t xml:space="preserve"> </w:t>
      </w:r>
      <w:r w:rsidR="00C1504D" w:rsidRPr="00C1504D">
        <w:rPr>
          <w:rFonts w:asciiTheme="minorHAnsi" w:hAnsiTheme="minorHAnsi" w:cs="Arial"/>
          <w:b/>
          <w:sz w:val="24"/>
          <w:szCs w:val="24"/>
        </w:rPr>
        <w:t>Statutory Authority</w:t>
      </w:r>
      <w:r w:rsidR="00C1504D">
        <w:rPr>
          <w:rFonts w:asciiTheme="minorHAnsi" w:hAnsiTheme="minorHAnsi" w:cs="Arial"/>
          <w:b/>
          <w:sz w:val="24"/>
          <w:szCs w:val="24"/>
        </w:rPr>
        <w:t xml:space="preserve"> (</w:t>
      </w:r>
      <w:r w:rsidR="00C1504D" w:rsidRPr="00C1504D">
        <w:rPr>
          <w:rFonts w:asciiTheme="minorHAnsi" w:hAnsiTheme="minorHAnsi" w:cs="Arial"/>
          <w:b/>
          <w:sz w:val="24"/>
          <w:szCs w:val="24"/>
        </w:rPr>
        <w:t>22 MRSA c. 1683, sub-3 sections 8732(1) and section 8732(2)</w:t>
      </w:r>
    </w:p>
    <w:p w14:paraId="6EB1C87A" w14:textId="212E136C"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The Pharmaceutical Research and Manufacturers of America (“PhRMA”) represents the country’s leading innovative biopharmaceutical research companies, which are devoted to discovering and developing medicines that enable patients to live longer, healthier, and more productive lives.  PhRMA respectfully submits these comments related to the August 2020 Proposed Rule (“Proposed Rule”) for the reporting and notification requirements in Chapter 570, Uniform Reporting System for Prescription Drug Price Data Sets (“Ch. 570”). While we strongly disagree with MHDO’s interpretation that reporting requirements are unfettered and that proposed amendments to Ch. 570 are merely a “clarification” as described during the public hearing, we have appreciated the opportunity to work collaboratively with MHDO at every stage of the legislative and regulatory process thus far. </w:t>
      </w:r>
    </w:p>
    <w:p w14:paraId="3564E643" w14:textId="77777777"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 </w:t>
      </w:r>
    </w:p>
    <w:p w14:paraId="7AE25674" w14:textId="77777777"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As we have previously articulated, it was the understanding of manufacturers that 22 MRSA c. 1683, sub-3 sections 8732(1) and section 8732(2) worked together so that if a manufacturer meets any one of the three criteria in 8732(1), then MHDO would be able to use 8732(2) to gather more information from the manufacturer relative to the triggering drug after notice is provided. This is the most reasonable reading of the statute and an approach that was reflected throughout the initial rulemaking process for Ch. 570. The Proposed Rule, on the other hand, would render 8732(1) largely meaningless. </w:t>
      </w:r>
    </w:p>
    <w:p w14:paraId="581B903B" w14:textId="77777777"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 </w:t>
      </w:r>
    </w:p>
    <w:p w14:paraId="4817CFA2" w14:textId="5B13FC49"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We maintain that requiring reporting related to drugs not captured by 8732(1) is beyond the legislative scope of LD 1162, and specifically identify two key areas where the Proposed Rule exceeds this authority – </w:t>
      </w:r>
      <w:r w:rsidRPr="006E5426">
        <w:rPr>
          <w:rFonts w:asciiTheme="minorHAnsi" w:hAnsiTheme="minorHAnsi" w:cs="Arial"/>
          <w:sz w:val="24"/>
          <w:szCs w:val="24"/>
        </w:rPr>
        <w:t>the addition of a reporting trigger</w:t>
      </w:r>
      <w:r w:rsidRPr="0062788D">
        <w:rPr>
          <w:rFonts w:asciiTheme="minorHAnsi" w:hAnsiTheme="minorHAnsi" w:cs="Arial"/>
          <w:sz w:val="24"/>
          <w:szCs w:val="24"/>
        </w:rPr>
        <w:t xml:space="preserve"> tied to reports required by subsection 5 of 22 MRSA §8712 (“25-25-25 report”) as well as reporting requirements for all drugs “in the same drug product family” as those identified in 8732(1) and the 25-25-25 report. We discuss these concerns in further detail below. </w:t>
      </w:r>
    </w:p>
    <w:p w14:paraId="54854228" w14:textId="77777777"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 </w:t>
      </w:r>
    </w:p>
    <w:p w14:paraId="1747DD3D" w14:textId="2BA4DB23" w:rsid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Eliminating unnecessary data collection is a key consideration underlying our comments, as the reporting requirements under Ch. 570 are significant and take time to compile.  Manufacturers need predictability/notice and time to gather appropriate information, particularly when there are civil penalties which may be as high as $30,000/day for non-compliance. </w:t>
      </w:r>
    </w:p>
    <w:p w14:paraId="6E77A035" w14:textId="7E4A10EE" w:rsidR="00C1504D" w:rsidRDefault="00C1504D" w:rsidP="0062788D">
      <w:pPr>
        <w:rPr>
          <w:rFonts w:asciiTheme="minorHAnsi" w:hAnsiTheme="minorHAnsi" w:cs="Arial"/>
          <w:sz w:val="24"/>
          <w:szCs w:val="24"/>
        </w:rPr>
      </w:pPr>
    </w:p>
    <w:p w14:paraId="28AF2E25" w14:textId="7935B24C" w:rsidR="00AD23CB" w:rsidRPr="008F6BD3" w:rsidRDefault="00C1504D" w:rsidP="00E1371F">
      <w:pPr>
        <w:pStyle w:val="CommentText"/>
        <w:rPr>
          <w:rFonts w:asciiTheme="minorHAnsi" w:hAnsiTheme="minorHAnsi" w:cs="Arial"/>
          <w:sz w:val="24"/>
          <w:szCs w:val="24"/>
        </w:rPr>
      </w:pPr>
      <w:r w:rsidRPr="00CF634B">
        <w:rPr>
          <w:rFonts w:asciiTheme="minorHAnsi" w:hAnsiTheme="minorHAnsi" w:cs="Arial"/>
          <w:b/>
          <w:sz w:val="24"/>
          <w:szCs w:val="24"/>
        </w:rPr>
        <w:t xml:space="preserve">MHDO Staff Response: </w:t>
      </w:r>
      <w:r w:rsidR="00E6047C" w:rsidRPr="008F6BD3">
        <w:rPr>
          <w:rFonts w:asciiTheme="minorHAnsi" w:hAnsiTheme="minorHAnsi" w:cs="Arial"/>
          <w:sz w:val="24"/>
          <w:szCs w:val="24"/>
        </w:rPr>
        <w:t xml:space="preserve">MHDO’s governing statute, Title 22, Chapter 1683 does not limit the MHDO </w:t>
      </w:r>
      <w:r w:rsidR="006371B3">
        <w:rPr>
          <w:rFonts w:asciiTheme="minorHAnsi" w:hAnsiTheme="minorHAnsi" w:cs="Arial"/>
          <w:sz w:val="24"/>
          <w:szCs w:val="24"/>
        </w:rPr>
        <w:t>to</w:t>
      </w:r>
      <w:r w:rsidR="00E6047C" w:rsidRPr="008F6BD3">
        <w:rPr>
          <w:rFonts w:asciiTheme="minorHAnsi" w:hAnsiTheme="minorHAnsi" w:cs="Arial"/>
          <w:sz w:val="24"/>
          <w:szCs w:val="24"/>
        </w:rPr>
        <w:t xml:space="preserve"> collecting</w:t>
      </w:r>
      <w:r w:rsidR="00A22452" w:rsidRPr="008F6BD3">
        <w:rPr>
          <w:rFonts w:asciiTheme="minorHAnsi" w:hAnsiTheme="minorHAnsi" w:cs="Arial"/>
          <w:sz w:val="24"/>
          <w:szCs w:val="24"/>
        </w:rPr>
        <w:t xml:space="preserve"> p</w:t>
      </w:r>
      <w:r w:rsidR="00E6047C" w:rsidRPr="008F6BD3">
        <w:rPr>
          <w:rFonts w:asciiTheme="minorHAnsi" w:hAnsiTheme="minorHAnsi" w:cs="Arial"/>
          <w:sz w:val="24"/>
          <w:szCs w:val="24"/>
        </w:rPr>
        <w:t>ricing com</w:t>
      </w:r>
      <w:r w:rsidR="006371B3">
        <w:rPr>
          <w:rFonts w:asciiTheme="minorHAnsi" w:hAnsiTheme="minorHAnsi" w:cs="Arial"/>
          <w:sz w:val="24"/>
          <w:szCs w:val="24"/>
        </w:rPr>
        <w:t>ponent data on drugs that</w:t>
      </w:r>
      <w:r w:rsidR="00E6047C" w:rsidRPr="008F6BD3">
        <w:rPr>
          <w:rFonts w:asciiTheme="minorHAnsi" w:hAnsiTheme="minorHAnsi" w:cs="Arial"/>
          <w:sz w:val="24"/>
          <w:szCs w:val="24"/>
        </w:rPr>
        <w:t xml:space="preserve"> meet one of the three triggers defined in</w:t>
      </w:r>
      <w:r w:rsidR="0028535B" w:rsidRPr="008F6BD3">
        <w:rPr>
          <w:rFonts w:asciiTheme="minorHAnsi" w:hAnsiTheme="minorHAnsi" w:cs="Arial"/>
          <w:sz w:val="24"/>
          <w:szCs w:val="24"/>
        </w:rPr>
        <w:t xml:space="preserve"> </w:t>
      </w:r>
      <w:r w:rsidR="0028535B" w:rsidRPr="008F6BD3">
        <w:rPr>
          <w:rFonts w:asciiTheme="minorHAnsi" w:hAnsiTheme="minorHAnsi"/>
          <w:sz w:val="24"/>
          <w:szCs w:val="24"/>
        </w:rPr>
        <w:t>22 MRS §8732(1).  There is no langu</w:t>
      </w:r>
      <w:r w:rsidR="0065478F">
        <w:rPr>
          <w:rFonts w:asciiTheme="minorHAnsi" w:hAnsiTheme="minorHAnsi"/>
          <w:sz w:val="24"/>
          <w:szCs w:val="24"/>
        </w:rPr>
        <w:t xml:space="preserve">age in 8732 suggesting any such limitation.  </w:t>
      </w:r>
      <w:r w:rsidR="008F6BD3" w:rsidRPr="008F6BD3">
        <w:rPr>
          <w:rFonts w:asciiTheme="minorHAnsi" w:hAnsiTheme="minorHAnsi"/>
          <w:sz w:val="24"/>
          <w:szCs w:val="24"/>
        </w:rPr>
        <w:t xml:space="preserve"> </w:t>
      </w:r>
      <w:r w:rsidR="0028535B" w:rsidRPr="008F6BD3">
        <w:rPr>
          <w:rFonts w:asciiTheme="minorHAnsi" w:hAnsiTheme="minorHAnsi"/>
          <w:sz w:val="24"/>
          <w:szCs w:val="24"/>
        </w:rPr>
        <w:t xml:space="preserve">Furthermore, there is language in other sections of PL 2019, Ch. 470[LD 1162] </w:t>
      </w:r>
      <w:r w:rsidR="0028535B" w:rsidRPr="006371B3">
        <w:rPr>
          <w:rFonts w:asciiTheme="minorHAnsi" w:hAnsiTheme="minorHAnsi"/>
          <w:i/>
          <w:sz w:val="24"/>
          <w:szCs w:val="24"/>
        </w:rPr>
        <w:t>An Act</w:t>
      </w:r>
      <w:r w:rsidR="0028535B" w:rsidRPr="006371B3">
        <w:rPr>
          <w:rFonts w:asciiTheme="minorHAnsi" w:hAnsiTheme="minorHAnsi"/>
          <w:i/>
          <w:iCs/>
          <w:sz w:val="24"/>
          <w:szCs w:val="24"/>
        </w:rPr>
        <w:t xml:space="preserve"> to Further Expand Drug Price Transparency</w:t>
      </w:r>
      <w:r w:rsidR="0028535B" w:rsidRPr="006371B3">
        <w:rPr>
          <w:rFonts w:asciiTheme="minorHAnsi" w:hAnsiTheme="minorHAnsi"/>
          <w:i/>
          <w:sz w:val="24"/>
          <w:szCs w:val="24"/>
        </w:rPr>
        <w:t xml:space="preserve"> </w:t>
      </w:r>
      <w:r w:rsidR="0028535B" w:rsidRPr="006371B3">
        <w:rPr>
          <w:rFonts w:asciiTheme="minorHAnsi" w:hAnsiTheme="minorHAnsi"/>
          <w:sz w:val="24"/>
          <w:szCs w:val="24"/>
        </w:rPr>
        <w:t>(“the Act”)</w:t>
      </w:r>
      <w:r w:rsidR="0028535B" w:rsidRPr="008F6BD3">
        <w:rPr>
          <w:rFonts w:asciiTheme="minorHAnsi" w:hAnsiTheme="minorHAnsi"/>
          <w:sz w:val="24"/>
          <w:szCs w:val="24"/>
        </w:rPr>
        <w:t xml:space="preserve"> that indicate otherwise.   The Act states that an objective of the MHDO is to create and maintain a health system database used to issue the report require</w:t>
      </w:r>
      <w:r w:rsidR="006371B3">
        <w:rPr>
          <w:rFonts w:asciiTheme="minorHAnsi" w:hAnsiTheme="minorHAnsi"/>
          <w:sz w:val="24"/>
          <w:szCs w:val="24"/>
        </w:rPr>
        <w:t>d by section 8736; that</w:t>
      </w:r>
      <w:r w:rsidR="0028535B" w:rsidRPr="008F6BD3">
        <w:rPr>
          <w:rFonts w:asciiTheme="minorHAnsi" w:hAnsiTheme="minorHAnsi"/>
          <w:sz w:val="24"/>
          <w:szCs w:val="24"/>
        </w:rPr>
        <w:t xml:space="preserve"> a duty of the MHDO Board of Directors is to develop and implement </w:t>
      </w:r>
      <w:r w:rsidR="00793C18" w:rsidRPr="008F6BD3">
        <w:rPr>
          <w:rFonts w:asciiTheme="minorHAnsi" w:hAnsiTheme="minorHAnsi"/>
          <w:sz w:val="24"/>
          <w:szCs w:val="24"/>
        </w:rPr>
        <w:t>policies</w:t>
      </w:r>
      <w:r w:rsidR="0028535B" w:rsidRPr="008F6BD3">
        <w:rPr>
          <w:rFonts w:asciiTheme="minorHAnsi" w:hAnsiTheme="minorHAnsi"/>
          <w:sz w:val="24"/>
          <w:szCs w:val="24"/>
        </w:rPr>
        <w:t xml:space="preserve"> for the collection, processing, storage and analysis of prescription drug price data; and that the MHDO shall produce and post each year a report “including information developed from the notifications and disclosures received pursuant to this subchapter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Act at Sections 1 (8703), 2 (8704) and 8 (8736).  </w:t>
      </w:r>
      <w:r w:rsidR="00E6047C" w:rsidRPr="008F6BD3">
        <w:rPr>
          <w:rFonts w:asciiTheme="minorHAnsi" w:hAnsiTheme="minorHAnsi" w:cs="Arial"/>
          <w:sz w:val="24"/>
          <w:szCs w:val="24"/>
        </w:rPr>
        <w:t xml:space="preserve"> </w:t>
      </w:r>
    </w:p>
    <w:p w14:paraId="3EED2863" w14:textId="77777777" w:rsidR="00AD23CB" w:rsidRDefault="00AD23CB" w:rsidP="00E1371F">
      <w:pPr>
        <w:pStyle w:val="CommentText"/>
        <w:rPr>
          <w:rFonts w:asciiTheme="minorHAnsi" w:hAnsiTheme="minorHAnsi" w:cs="Arial"/>
          <w:sz w:val="24"/>
          <w:szCs w:val="24"/>
        </w:rPr>
      </w:pPr>
    </w:p>
    <w:p w14:paraId="0FF33AFB" w14:textId="2C030AC5" w:rsidR="00074862" w:rsidRPr="0028535B" w:rsidRDefault="00A22452" w:rsidP="00E1371F">
      <w:pPr>
        <w:pStyle w:val="CommentText"/>
        <w:rPr>
          <w:rFonts w:asciiTheme="minorHAnsi" w:hAnsiTheme="minorHAnsi" w:cs="Arial"/>
          <w:sz w:val="24"/>
          <w:szCs w:val="24"/>
        </w:rPr>
      </w:pPr>
      <w:r w:rsidRPr="00793C18">
        <w:rPr>
          <w:rFonts w:asciiTheme="minorHAnsi" w:hAnsiTheme="minorHAnsi" w:cs="Arial"/>
          <w:sz w:val="24"/>
          <w:szCs w:val="24"/>
        </w:rPr>
        <w:t>It was always the intent (</w:t>
      </w:r>
      <w:r w:rsidR="007C5155" w:rsidRPr="00793C18">
        <w:rPr>
          <w:rFonts w:asciiTheme="minorHAnsi" w:hAnsiTheme="minorHAnsi" w:cs="Arial"/>
          <w:sz w:val="24"/>
          <w:szCs w:val="24"/>
        </w:rPr>
        <w:t>stated</w:t>
      </w:r>
      <w:r w:rsidRPr="00793C18">
        <w:rPr>
          <w:rFonts w:asciiTheme="minorHAnsi" w:hAnsiTheme="minorHAnsi" w:cs="Arial"/>
          <w:sz w:val="24"/>
          <w:szCs w:val="24"/>
        </w:rPr>
        <w:t xml:space="preserve"> in the January 16</w:t>
      </w:r>
      <w:r w:rsidR="00512881" w:rsidRPr="00793C18">
        <w:rPr>
          <w:rFonts w:asciiTheme="minorHAnsi" w:hAnsiTheme="minorHAnsi" w:cs="Arial"/>
          <w:sz w:val="24"/>
          <w:szCs w:val="24"/>
        </w:rPr>
        <w:t>, 2020</w:t>
      </w:r>
      <w:r w:rsidRPr="00793C18">
        <w:rPr>
          <w:rFonts w:asciiTheme="minorHAnsi" w:hAnsiTheme="minorHAnsi" w:cs="Arial"/>
          <w:sz w:val="24"/>
          <w:szCs w:val="24"/>
        </w:rPr>
        <w:t xml:space="preserve"> MHDO Comment and Response document) to</w:t>
      </w:r>
      <w:r w:rsidR="00AD23CB">
        <w:rPr>
          <w:rFonts w:asciiTheme="minorHAnsi" w:hAnsiTheme="minorHAnsi" w:cs="Arial"/>
          <w:sz w:val="24"/>
          <w:szCs w:val="24"/>
        </w:rPr>
        <w:t xml:space="preserve"> not only</w:t>
      </w:r>
      <w:r w:rsidRPr="00793C18">
        <w:rPr>
          <w:rFonts w:asciiTheme="minorHAnsi" w:hAnsiTheme="minorHAnsi" w:cs="Arial"/>
          <w:sz w:val="24"/>
          <w:szCs w:val="24"/>
        </w:rPr>
        <w:t xml:space="preserve"> </w:t>
      </w:r>
      <w:r w:rsidR="007C5155" w:rsidRPr="00793C18">
        <w:rPr>
          <w:rFonts w:asciiTheme="minorHAnsi" w:hAnsiTheme="minorHAnsi" w:cs="Arial"/>
          <w:sz w:val="24"/>
          <w:szCs w:val="24"/>
        </w:rPr>
        <w:t>focus</w:t>
      </w:r>
      <w:r w:rsidR="00AD23CB">
        <w:rPr>
          <w:rFonts w:asciiTheme="minorHAnsi" w:hAnsiTheme="minorHAnsi" w:cs="Arial"/>
          <w:sz w:val="24"/>
          <w:szCs w:val="24"/>
        </w:rPr>
        <w:t xml:space="preserve"> on</w:t>
      </w:r>
      <w:r w:rsidR="007C5155" w:rsidRPr="00793C18">
        <w:rPr>
          <w:rFonts w:asciiTheme="minorHAnsi" w:hAnsiTheme="minorHAnsi" w:cs="Arial"/>
          <w:sz w:val="24"/>
          <w:szCs w:val="24"/>
        </w:rPr>
        <w:t xml:space="preserve"> the reporting of pricing component</w:t>
      </w:r>
      <w:r w:rsidR="007C5155">
        <w:rPr>
          <w:rFonts w:asciiTheme="minorHAnsi" w:hAnsiTheme="minorHAnsi" w:cs="Arial"/>
          <w:sz w:val="24"/>
          <w:szCs w:val="24"/>
        </w:rPr>
        <w:t xml:space="preserve"> data </w:t>
      </w:r>
      <w:r w:rsidR="00AD23CB">
        <w:rPr>
          <w:rFonts w:asciiTheme="minorHAnsi" w:hAnsiTheme="minorHAnsi" w:cs="Arial"/>
          <w:sz w:val="24"/>
          <w:szCs w:val="24"/>
        </w:rPr>
        <w:t>for</w:t>
      </w:r>
      <w:r w:rsidR="0028535B">
        <w:rPr>
          <w:rFonts w:asciiTheme="minorHAnsi" w:hAnsiTheme="minorHAnsi" w:cs="Arial"/>
          <w:sz w:val="24"/>
          <w:szCs w:val="24"/>
        </w:rPr>
        <w:t xml:space="preserve"> drugs that </w:t>
      </w:r>
      <w:r w:rsidR="00CD11A2">
        <w:rPr>
          <w:rFonts w:asciiTheme="minorHAnsi" w:hAnsiTheme="minorHAnsi" w:cs="Arial"/>
          <w:sz w:val="24"/>
          <w:szCs w:val="24"/>
        </w:rPr>
        <w:t xml:space="preserve">meet </w:t>
      </w:r>
      <w:r w:rsidR="0028535B">
        <w:rPr>
          <w:rFonts w:asciiTheme="minorHAnsi" w:hAnsiTheme="minorHAnsi" w:cs="Arial"/>
          <w:sz w:val="24"/>
          <w:szCs w:val="24"/>
        </w:rPr>
        <w:t xml:space="preserve">one of the triggers defined in statute (new drug or price increases) but </w:t>
      </w:r>
      <w:r w:rsidR="00AD23CB">
        <w:rPr>
          <w:rFonts w:asciiTheme="minorHAnsi" w:hAnsiTheme="minorHAnsi" w:cs="Arial"/>
          <w:sz w:val="24"/>
          <w:szCs w:val="24"/>
        </w:rPr>
        <w:t>to additionally seek information related to drugs identified</w:t>
      </w:r>
      <w:r w:rsidR="0028535B">
        <w:rPr>
          <w:rFonts w:asciiTheme="minorHAnsi" w:hAnsiTheme="minorHAnsi" w:cs="Arial"/>
          <w:sz w:val="24"/>
          <w:szCs w:val="24"/>
        </w:rPr>
        <w:t xml:space="preserve"> as the</w:t>
      </w:r>
      <w:r w:rsidR="007C5155">
        <w:rPr>
          <w:rFonts w:asciiTheme="minorHAnsi" w:hAnsiTheme="minorHAnsi" w:cs="Arial"/>
          <w:sz w:val="24"/>
          <w:szCs w:val="24"/>
        </w:rPr>
        <w:t xml:space="preserve"> </w:t>
      </w:r>
      <w:r w:rsidR="007C5155" w:rsidRPr="00F47794">
        <w:rPr>
          <w:rFonts w:asciiTheme="minorHAnsi" w:hAnsiTheme="minorHAnsi"/>
          <w:sz w:val="24"/>
          <w:szCs w:val="24"/>
        </w:rPr>
        <w:t>most costly, most utilized</w:t>
      </w:r>
      <w:r w:rsidR="00AD23CB">
        <w:rPr>
          <w:rFonts w:asciiTheme="minorHAnsi" w:hAnsiTheme="minorHAnsi"/>
          <w:sz w:val="24"/>
          <w:szCs w:val="24"/>
        </w:rPr>
        <w:t>,</w:t>
      </w:r>
      <w:r w:rsidR="00E1371F">
        <w:rPr>
          <w:rFonts w:asciiTheme="minorHAnsi" w:hAnsiTheme="minorHAnsi"/>
          <w:sz w:val="24"/>
          <w:szCs w:val="24"/>
        </w:rPr>
        <w:t xml:space="preserve"> </w:t>
      </w:r>
      <w:r w:rsidR="00AD23CB">
        <w:rPr>
          <w:rFonts w:asciiTheme="minorHAnsi" w:hAnsiTheme="minorHAnsi"/>
          <w:sz w:val="24"/>
          <w:szCs w:val="24"/>
        </w:rPr>
        <w:t>or having</w:t>
      </w:r>
      <w:r w:rsidR="007C5155" w:rsidRPr="00F47794">
        <w:rPr>
          <w:rFonts w:asciiTheme="minorHAnsi" w:hAnsiTheme="minorHAnsi"/>
          <w:sz w:val="24"/>
          <w:szCs w:val="24"/>
        </w:rPr>
        <w:t xml:space="preserve"> the highest year over year increases in the MHDO’s annual pharmacy report as required in</w:t>
      </w:r>
      <w:r w:rsidR="00AD23CB">
        <w:rPr>
          <w:rFonts w:asciiTheme="minorHAnsi" w:hAnsiTheme="minorHAnsi"/>
          <w:sz w:val="24"/>
          <w:szCs w:val="24"/>
        </w:rPr>
        <w:t xml:space="preserve"> 22 MRS</w:t>
      </w:r>
      <w:r w:rsidR="007C5155" w:rsidRPr="00F47794">
        <w:rPr>
          <w:rFonts w:asciiTheme="minorHAnsi" w:hAnsiTheme="minorHAnsi"/>
          <w:sz w:val="24"/>
          <w:szCs w:val="24"/>
        </w:rPr>
        <w:t xml:space="preserve"> </w:t>
      </w:r>
      <w:r w:rsidR="007C5155" w:rsidRPr="008D7AD2">
        <w:rPr>
          <w:rFonts w:asciiTheme="minorHAnsi" w:hAnsiTheme="minorHAnsi"/>
          <w:sz w:val="24"/>
          <w:szCs w:val="24"/>
        </w:rPr>
        <w:t>§8712</w:t>
      </w:r>
      <w:r w:rsidR="00AD23CB">
        <w:rPr>
          <w:rFonts w:asciiTheme="minorHAnsi" w:hAnsiTheme="minorHAnsi"/>
          <w:sz w:val="24"/>
          <w:szCs w:val="24"/>
        </w:rPr>
        <w:t>(</w:t>
      </w:r>
      <w:r w:rsidR="007C5155" w:rsidRPr="00CF634B">
        <w:rPr>
          <w:rFonts w:asciiTheme="minorHAnsi" w:hAnsiTheme="minorHAnsi"/>
          <w:sz w:val="24"/>
          <w:szCs w:val="24"/>
        </w:rPr>
        <w:t>5</w:t>
      </w:r>
      <w:r w:rsidR="00AD23CB">
        <w:rPr>
          <w:rFonts w:asciiTheme="minorHAnsi" w:hAnsiTheme="minorHAnsi"/>
          <w:sz w:val="24"/>
          <w:szCs w:val="24"/>
        </w:rPr>
        <w:t>)</w:t>
      </w:r>
      <w:r w:rsidR="007C5155" w:rsidRPr="00CF634B">
        <w:rPr>
          <w:rFonts w:asciiTheme="minorHAnsi" w:hAnsiTheme="minorHAnsi"/>
          <w:sz w:val="24"/>
          <w:szCs w:val="24"/>
        </w:rPr>
        <w:t>.</w:t>
      </w:r>
      <w:r w:rsidR="007C5155">
        <w:rPr>
          <w:rFonts w:asciiTheme="minorHAnsi" w:hAnsiTheme="minorHAnsi"/>
          <w:sz w:val="24"/>
          <w:szCs w:val="24"/>
        </w:rPr>
        <w:t xml:space="preserve">  </w:t>
      </w:r>
      <w:r w:rsidR="00E1371F">
        <w:rPr>
          <w:rFonts w:asciiTheme="minorHAnsi" w:hAnsiTheme="minorHAnsi"/>
          <w:sz w:val="24"/>
          <w:szCs w:val="24"/>
        </w:rPr>
        <w:t xml:space="preserve"> </w:t>
      </w:r>
      <w:r w:rsidR="00512881">
        <w:rPr>
          <w:rFonts w:asciiTheme="minorHAnsi" w:hAnsiTheme="minorHAnsi"/>
          <w:sz w:val="24"/>
          <w:szCs w:val="24"/>
        </w:rPr>
        <w:t xml:space="preserve">Further, </w:t>
      </w:r>
      <w:r w:rsidR="006A13CE">
        <w:rPr>
          <w:rFonts w:asciiTheme="minorHAnsi" w:hAnsiTheme="minorHAnsi"/>
          <w:sz w:val="24"/>
          <w:szCs w:val="24"/>
        </w:rPr>
        <w:t xml:space="preserve">it has become clear that </w:t>
      </w:r>
      <w:r w:rsidR="00FE2591">
        <w:rPr>
          <w:rFonts w:asciiTheme="minorHAnsi" w:hAnsiTheme="minorHAnsi"/>
          <w:sz w:val="24"/>
          <w:szCs w:val="24"/>
        </w:rPr>
        <w:t>where drugs of interest are available from multiple sources,</w:t>
      </w:r>
      <w:r w:rsidR="006A13CE">
        <w:rPr>
          <w:rFonts w:asciiTheme="minorHAnsi" w:hAnsiTheme="minorHAnsi"/>
          <w:sz w:val="24"/>
          <w:szCs w:val="24"/>
        </w:rPr>
        <w:t xml:space="preserve"> </w:t>
      </w:r>
      <w:r w:rsidR="00512881">
        <w:rPr>
          <w:rFonts w:asciiTheme="minorHAnsi" w:hAnsiTheme="minorHAnsi" w:cs="Arial"/>
          <w:bCs/>
          <w:sz w:val="24"/>
          <w:szCs w:val="24"/>
        </w:rPr>
        <w:t>understan</w:t>
      </w:r>
      <w:r w:rsidR="00074862">
        <w:rPr>
          <w:rFonts w:asciiTheme="minorHAnsi" w:hAnsiTheme="minorHAnsi" w:cs="Arial"/>
          <w:bCs/>
          <w:sz w:val="24"/>
          <w:szCs w:val="24"/>
        </w:rPr>
        <w:t>d</w:t>
      </w:r>
      <w:r w:rsidR="006A13CE">
        <w:rPr>
          <w:rFonts w:asciiTheme="minorHAnsi" w:hAnsiTheme="minorHAnsi" w:cs="Arial"/>
          <w:bCs/>
          <w:sz w:val="24"/>
          <w:szCs w:val="24"/>
        </w:rPr>
        <w:t>ing</w:t>
      </w:r>
      <w:r w:rsidR="00512881">
        <w:rPr>
          <w:rFonts w:asciiTheme="minorHAnsi" w:hAnsiTheme="minorHAnsi" w:cs="Arial"/>
          <w:bCs/>
          <w:sz w:val="24"/>
          <w:szCs w:val="24"/>
        </w:rPr>
        <w:t xml:space="preserve"> the impact of competitive pricing </w:t>
      </w:r>
      <w:r w:rsidR="00FE2591">
        <w:rPr>
          <w:rFonts w:asciiTheme="minorHAnsi" w:hAnsiTheme="minorHAnsi" w:cs="Arial"/>
          <w:bCs/>
          <w:sz w:val="24"/>
          <w:szCs w:val="24"/>
        </w:rPr>
        <w:t xml:space="preserve">for </w:t>
      </w:r>
      <w:r w:rsidR="00512881">
        <w:rPr>
          <w:rFonts w:asciiTheme="minorHAnsi" w:hAnsiTheme="minorHAnsi" w:cs="Arial"/>
          <w:bCs/>
          <w:sz w:val="24"/>
          <w:szCs w:val="24"/>
        </w:rPr>
        <w:t>drug products</w:t>
      </w:r>
      <w:r w:rsidR="00FE2591">
        <w:rPr>
          <w:rFonts w:asciiTheme="minorHAnsi" w:hAnsiTheme="minorHAnsi" w:cs="Arial"/>
          <w:bCs/>
          <w:sz w:val="24"/>
          <w:szCs w:val="24"/>
        </w:rPr>
        <w:t xml:space="preserve"> that fall</w:t>
      </w:r>
      <w:r w:rsidR="00512881">
        <w:rPr>
          <w:rFonts w:asciiTheme="minorHAnsi" w:hAnsiTheme="minorHAnsi" w:cs="Arial"/>
          <w:bCs/>
          <w:sz w:val="24"/>
          <w:szCs w:val="24"/>
        </w:rPr>
        <w:t xml:space="preserve"> within </w:t>
      </w:r>
      <w:r w:rsidR="00FE2591">
        <w:rPr>
          <w:rFonts w:asciiTheme="minorHAnsi" w:hAnsiTheme="minorHAnsi" w:cs="Arial"/>
          <w:bCs/>
          <w:sz w:val="24"/>
          <w:szCs w:val="24"/>
        </w:rPr>
        <w:t>the same</w:t>
      </w:r>
      <w:r w:rsidR="00512881">
        <w:rPr>
          <w:rFonts w:asciiTheme="minorHAnsi" w:hAnsiTheme="minorHAnsi" w:cs="Arial"/>
          <w:bCs/>
          <w:sz w:val="24"/>
          <w:szCs w:val="24"/>
        </w:rPr>
        <w:t xml:space="preserve"> drug product family</w:t>
      </w:r>
      <w:r w:rsidR="006A13CE">
        <w:rPr>
          <w:rFonts w:asciiTheme="minorHAnsi" w:hAnsiTheme="minorHAnsi" w:cs="Arial"/>
          <w:bCs/>
          <w:sz w:val="24"/>
          <w:szCs w:val="24"/>
        </w:rPr>
        <w:t xml:space="preserve"> </w:t>
      </w:r>
      <w:r w:rsidR="00074862">
        <w:rPr>
          <w:rFonts w:asciiTheme="minorHAnsi" w:hAnsiTheme="minorHAnsi"/>
          <w:sz w:val="24"/>
          <w:szCs w:val="24"/>
        </w:rPr>
        <w:t xml:space="preserve">is relevant information to providing greater consumer awareness on the factors contributing to the costs of prescription drugs in the state.  </w:t>
      </w:r>
    </w:p>
    <w:p w14:paraId="73BED144" w14:textId="77777777" w:rsidR="00074862" w:rsidRDefault="00074862" w:rsidP="00E1371F">
      <w:pPr>
        <w:pStyle w:val="CommentText"/>
        <w:rPr>
          <w:rFonts w:asciiTheme="minorHAnsi" w:hAnsiTheme="minorHAnsi"/>
          <w:sz w:val="24"/>
          <w:szCs w:val="24"/>
        </w:rPr>
      </w:pPr>
    </w:p>
    <w:p w14:paraId="69CCBC40" w14:textId="77777777" w:rsidR="008F6BD3" w:rsidRDefault="00E1371F" w:rsidP="00AA67E6">
      <w:pPr>
        <w:pStyle w:val="CommentText"/>
        <w:rPr>
          <w:rFonts w:ascii="Calibri" w:hAnsi="Calibri"/>
          <w:sz w:val="24"/>
          <w:szCs w:val="24"/>
        </w:rPr>
      </w:pPr>
      <w:bookmarkStart w:id="1" w:name="_Hlk52304653"/>
      <w:r w:rsidRPr="00E1371F">
        <w:rPr>
          <w:rFonts w:asciiTheme="minorHAnsi" w:hAnsiTheme="minorHAnsi"/>
          <w:sz w:val="24"/>
          <w:szCs w:val="24"/>
        </w:rPr>
        <w:t>MHDO is not adding any new reporting triggers (which are specific only to Section 2(B)</w:t>
      </w:r>
      <w:r w:rsidR="00793C18">
        <w:rPr>
          <w:rFonts w:asciiTheme="minorHAnsi" w:hAnsiTheme="minorHAnsi"/>
          <w:sz w:val="24"/>
          <w:szCs w:val="24"/>
        </w:rPr>
        <w:t>)</w:t>
      </w:r>
      <w:r w:rsidRPr="00E1371F">
        <w:rPr>
          <w:rFonts w:asciiTheme="minorHAnsi" w:hAnsiTheme="minorHAnsi"/>
          <w:sz w:val="24"/>
          <w:szCs w:val="24"/>
        </w:rPr>
        <w:t>, but</w:t>
      </w:r>
      <w:r>
        <w:rPr>
          <w:rFonts w:asciiTheme="minorHAnsi" w:hAnsiTheme="minorHAnsi"/>
          <w:sz w:val="24"/>
          <w:szCs w:val="24"/>
        </w:rPr>
        <w:t xml:space="preserve"> is instead providing clarity and </w:t>
      </w:r>
      <w:r w:rsidRPr="00E1371F">
        <w:rPr>
          <w:rFonts w:asciiTheme="minorHAnsi" w:hAnsiTheme="minorHAnsi"/>
          <w:sz w:val="24"/>
          <w:szCs w:val="24"/>
        </w:rPr>
        <w:t>predictability regarding the</w:t>
      </w:r>
      <w:r w:rsidR="0028535B">
        <w:rPr>
          <w:rFonts w:asciiTheme="minorHAnsi" w:hAnsiTheme="minorHAnsi"/>
          <w:sz w:val="24"/>
          <w:szCs w:val="24"/>
        </w:rPr>
        <w:t xml:space="preserve"> pool of</w:t>
      </w:r>
      <w:r w:rsidRPr="00E1371F">
        <w:rPr>
          <w:rFonts w:asciiTheme="minorHAnsi" w:hAnsiTheme="minorHAnsi"/>
          <w:sz w:val="24"/>
          <w:szCs w:val="24"/>
        </w:rPr>
        <w:t xml:space="preserve"> NDCs for which MHDO intends to request pricing component data.</w:t>
      </w:r>
      <w:r>
        <w:rPr>
          <w:rFonts w:asciiTheme="minorHAnsi" w:hAnsiTheme="minorHAnsi"/>
          <w:sz w:val="24"/>
          <w:szCs w:val="24"/>
        </w:rPr>
        <w:t xml:space="preserve"> </w:t>
      </w:r>
    </w:p>
    <w:p w14:paraId="2C97848A" w14:textId="77777777" w:rsidR="008F6BD3" w:rsidRDefault="008F6BD3" w:rsidP="00793C18">
      <w:pPr>
        <w:rPr>
          <w:rFonts w:ascii="Calibri" w:hAnsi="Calibri"/>
          <w:sz w:val="24"/>
          <w:szCs w:val="24"/>
        </w:rPr>
      </w:pPr>
    </w:p>
    <w:p w14:paraId="3E76E621" w14:textId="139B0DB1" w:rsidR="00793C18" w:rsidRDefault="00603C4D" w:rsidP="00793C18">
      <w:pPr>
        <w:rPr>
          <w:rFonts w:ascii="Calibri" w:hAnsi="Calibri"/>
          <w:sz w:val="24"/>
          <w:szCs w:val="24"/>
        </w:rPr>
      </w:pPr>
      <w:r>
        <w:rPr>
          <w:rFonts w:ascii="Calibri" w:hAnsi="Calibri"/>
          <w:sz w:val="24"/>
          <w:szCs w:val="24"/>
        </w:rPr>
        <w:t xml:space="preserve">MHDO is not interested in unnecessary data collection.  </w:t>
      </w:r>
      <w:r w:rsidR="00AD23CB">
        <w:rPr>
          <w:rFonts w:asciiTheme="minorHAnsi" w:hAnsiTheme="minorHAnsi"/>
          <w:sz w:val="24"/>
          <w:szCs w:val="24"/>
        </w:rPr>
        <w:t>As discussed with the MHDO board and during the work session on 1162, MHDO intends to focus the reporting of pricing component data on relevant drug pricing information and may not require manufacturers to produce pricing component data for every drug that meets one of the triggers that requires a notification to MHDO</w:t>
      </w:r>
      <w:r w:rsidR="000A3F46">
        <w:rPr>
          <w:rFonts w:asciiTheme="minorHAnsi" w:hAnsiTheme="minorHAnsi"/>
          <w:sz w:val="24"/>
          <w:szCs w:val="24"/>
        </w:rPr>
        <w:t xml:space="preserve">.  </w:t>
      </w:r>
      <w:r w:rsidRPr="005E4E0D">
        <w:rPr>
          <w:rFonts w:ascii="Calibri" w:hAnsi="Calibri"/>
          <w:sz w:val="24"/>
          <w:szCs w:val="24"/>
        </w:rPr>
        <w:t xml:space="preserve">  </w:t>
      </w:r>
      <w:bookmarkEnd w:id="1"/>
      <w:r w:rsidR="00E1371F">
        <w:rPr>
          <w:rFonts w:asciiTheme="minorHAnsi" w:hAnsiTheme="minorHAnsi"/>
          <w:sz w:val="24"/>
          <w:szCs w:val="24"/>
        </w:rPr>
        <w:t>To</w:t>
      </w:r>
      <w:r w:rsidR="007C5155">
        <w:rPr>
          <w:rFonts w:asciiTheme="minorHAnsi" w:hAnsiTheme="minorHAnsi"/>
          <w:sz w:val="24"/>
          <w:szCs w:val="24"/>
        </w:rPr>
        <w:t xml:space="preserve"> provide </w:t>
      </w:r>
      <w:r w:rsidR="00E1371F">
        <w:rPr>
          <w:rFonts w:asciiTheme="minorHAnsi" w:hAnsiTheme="minorHAnsi"/>
          <w:sz w:val="24"/>
          <w:szCs w:val="24"/>
        </w:rPr>
        <w:t>predictability</w:t>
      </w:r>
      <w:r w:rsidR="007C5155">
        <w:rPr>
          <w:rFonts w:asciiTheme="minorHAnsi" w:hAnsiTheme="minorHAnsi"/>
          <w:sz w:val="24"/>
          <w:szCs w:val="24"/>
        </w:rPr>
        <w:t>, th</w:t>
      </w:r>
      <w:r w:rsidR="00E1371F">
        <w:rPr>
          <w:rFonts w:asciiTheme="minorHAnsi" w:hAnsiTheme="minorHAnsi"/>
          <w:sz w:val="24"/>
          <w:szCs w:val="24"/>
        </w:rPr>
        <w:t>e</w:t>
      </w:r>
      <w:r w:rsidR="007C5155">
        <w:rPr>
          <w:rFonts w:asciiTheme="minorHAnsi" w:hAnsiTheme="minorHAnsi"/>
          <w:sz w:val="24"/>
          <w:szCs w:val="24"/>
        </w:rPr>
        <w:t xml:space="preserve"> proposed changes in Section 2. C. </w:t>
      </w:r>
      <w:r w:rsidR="00E1371F">
        <w:rPr>
          <w:rFonts w:asciiTheme="minorHAnsi" w:hAnsiTheme="minorHAnsi"/>
          <w:sz w:val="24"/>
          <w:szCs w:val="24"/>
        </w:rPr>
        <w:t xml:space="preserve">1. </w:t>
      </w:r>
      <w:r w:rsidR="000A3F46">
        <w:rPr>
          <w:rFonts w:asciiTheme="minorHAnsi" w:hAnsiTheme="minorHAnsi"/>
          <w:sz w:val="24"/>
          <w:szCs w:val="24"/>
        </w:rPr>
        <w:t>(</w:t>
      </w:r>
      <w:r w:rsidR="00E1371F">
        <w:rPr>
          <w:rFonts w:asciiTheme="minorHAnsi" w:hAnsiTheme="minorHAnsi"/>
          <w:sz w:val="24"/>
          <w:szCs w:val="24"/>
        </w:rPr>
        <w:t>a-c</w:t>
      </w:r>
      <w:r w:rsidR="000A3F46">
        <w:rPr>
          <w:rFonts w:asciiTheme="minorHAnsi" w:hAnsiTheme="minorHAnsi"/>
          <w:sz w:val="24"/>
          <w:szCs w:val="24"/>
        </w:rPr>
        <w:t>)</w:t>
      </w:r>
      <w:r w:rsidR="00E1371F">
        <w:rPr>
          <w:rFonts w:asciiTheme="minorHAnsi" w:hAnsiTheme="minorHAnsi"/>
          <w:sz w:val="24"/>
          <w:szCs w:val="24"/>
        </w:rPr>
        <w:t xml:space="preserve">, state </w:t>
      </w:r>
      <w:r w:rsidR="00175D27">
        <w:rPr>
          <w:rFonts w:asciiTheme="minorHAnsi" w:hAnsiTheme="minorHAnsi"/>
          <w:sz w:val="24"/>
          <w:szCs w:val="24"/>
        </w:rPr>
        <w:t xml:space="preserve">the methodology MHDO will apply to identify NDCs of interest </w:t>
      </w:r>
      <w:r w:rsidR="00E1371F">
        <w:rPr>
          <w:rFonts w:asciiTheme="minorHAnsi" w:hAnsiTheme="minorHAnsi"/>
          <w:sz w:val="24"/>
          <w:szCs w:val="24"/>
        </w:rPr>
        <w:t>for pricing component data.  In addition,</w:t>
      </w:r>
      <w:r w:rsidR="00FA234E">
        <w:rPr>
          <w:rFonts w:asciiTheme="minorHAnsi" w:hAnsiTheme="minorHAnsi"/>
          <w:sz w:val="24"/>
          <w:szCs w:val="24"/>
        </w:rPr>
        <w:t xml:space="preserve"> </w:t>
      </w:r>
      <w:r w:rsidR="006E5426">
        <w:rPr>
          <w:rFonts w:asciiTheme="minorHAnsi" w:hAnsiTheme="minorHAnsi"/>
          <w:sz w:val="24"/>
          <w:szCs w:val="24"/>
        </w:rPr>
        <w:t>Section 2. C.</w:t>
      </w:r>
      <w:r w:rsidR="00175D27">
        <w:rPr>
          <w:rFonts w:asciiTheme="minorHAnsi" w:hAnsiTheme="minorHAnsi"/>
          <w:sz w:val="24"/>
          <w:szCs w:val="24"/>
        </w:rPr>
        <w:t xml:space="preserve"> 2.</w:t>
      </w:r>
      <w:r w:rsidR="006E5426">
        <w:rPr>
          <w:rFonts w:asciiTheme="minorHAnsi" w:hAnsiTheme="minorHAnsi"/>
          <w:sz w:val="24"/>
          <w:szCs w:val="24"/>
        </w:rPr>
        <w:t xml:space="preserve"> </w:t>
      </w:r>
      <w:r w:rsidR="00E1371F">
        <w:rPr>
          <w:rFonts w:asciiTheme="minorHAnsi" w:hAnsiTheme="minorHAnsi"/>
          <w:sz w:val="24"/>
          <w:szCs w:val="24"/>
        </w:rPr>
        <w:t xml:space="preserve"> requires MHDO to publicly post the drugs that MHDO will request pricing component data for</w:t>
      </w:r>
      <w:r w:rsidR="00FA234E">
        <w:rPr>
          <w:rFonts w:asciiTheme="minorHAnsi" w:hAnsiTheme="minorHAnsi"/>
          <w:sz w:val="24"/>
          <w:szCs w:val="24"/>
        </w:rPr>
        <w:t xml:space="preserve"> in mid-February</w:t>
      </w:r>
      <w:r w:rsidR="00E1371F">
        <w:rPr>
          <w:rFonts w:asciiTheme="minorHAnsi" w:hAnsiTheme="minorHAnsi"/>
          <w:sz w:val="24"/>
          <w:szCs w:val="24"/>
        </w:rPr>
        <w:t xml:space="preserve">.  </w:t>
      </w:r>
      <w:r w:rsidR="00FA234E">
        <w:rPr>
          <w:rFonts w:asciiTheme="minorHAnsi" w:hAnsiTheme="minorHAnsi"/>
          <w:sz w:val="24"/>
          <w:szCs w:val="24"/>
        </w:rPr>
        <w:t xml:space="preserve"> </w:t>
      </w:r>
      <w:r w:rsidR="00175D27">
        <w:rPr>
          <w:rFonts w:asciiTheme="minorHAnsi" w:hAnsiTheme="minorHAnsi"/>
          <w:sz w:val="24"/>
          <w:szCs w:val="24"/>
        </w:rPr>
        <w:t>Section 2. C. 3.</w:t>
      </w:r>
      <w:r w:rsidR="00FA234E">
        <w:rPr>
          <w:rFonts w:asciiTheme="minorHAnsi" w:hAnsiTheme="minorHAnsi"/>
          <w:sz w:val="24"/>
          <w:szCs w:val="24"/>
        </w:rPr>
        <w:t xml:space="preserve"> states MHDO cannot ask for pricing component data </w:t>
      </w:r>
      <w:r w:rsidR="00FB10DD">
        <w:rPr>
          <w:rFonts w:asciiTheme="minorHAnsi" w:hAnsiTheme="minorHAnsi"/>
          <w:sz w:val="24"/>
          <w:szCs w:val="24"/>
        </w:rPr>
        <w:t>for 30</w:t>
      </w:r>
      <w:r w:rsidR="00FA234E">
        <w:rPr>
          <w:rFonts w:asciiTheme="minorHAnsi" w:hAnsiTheme="minorHAnsi"/>
          <w:sz w:val="24"/>
          <w:szCs w:val="24"/>
        </w:rPr>
        <w:t xml:space="preserve"> days after the posting. </w:t>
      </w:r>
      <w:r w:rsidR="006E5426">
        <w:rPr>
          <w:rFonts w:asciiTheme="minorHAnsi" w:hAnsiTheme="minorHAnsi"/>
          <w:sz w:val="24"/>
          <w:szCs w:val="24"/>
        </w:rPr>
        <w:t xml:space="preserve"> Reporting entities then have 60 days from the date we officially notify them of the NDCs </w:t>
      </w:r>
      <w:r w:rsidR="006A4733">
        <w:rPr>
          <w:rFonts w:asciiTheme="minorHAnsi" w:hAnsiTheme="minorHAnsi"/>
          <w:sz w:val="24"/>
          <w:szCs w:val="24"/>
        </w:rPr>
        <w:t xml:space="preserve">for which </w:t>
      </w:r>
      <w:r w:rsidR="006E5426">
        <w:rPr>
          <w:rFonts w:asciiTheme="minorHAnsi" w:hAnsiTheme="minorHAnsi"/>
          <w:sz w:val="24"/>
          <w:szCs w:val="24"/>
        </w:rPr>
        <w:t>we are requesting pricing component data.</w:t>
      </w:r>
      <w:r w:rsidR="00793C18">
        <w:rPr>
          <w:rFonts w:asciiTheme="minorHAnsi" w:hAnsiTheme="minorHAnsi"/>
          <w:sz w:val="24"/>
          <w:szCs w:val="24"/>
        </w:rPr>
        <w:t xml:space="preserve">  These changes will give </w:t>
      </w:r>
      <w:r w:rsidR="00793C18" w:rsidRPr="00793C18">
        <w:rPr>
          <w:rFonts w:asciiTheme="minorHAnsi" w:hAnsiTheme="minorHAnsi"/>
          <w:sz w:val="24"/>
          <w:szCs w:val="24"/>
        </w:rPr>
        <w:t>reporting entities 90 days</w:t>
      </w:r>
      <w:r w:rsidR="006371B3">
        <w:rPr>
          <w:rFonts w:asciiTheme="minorHAnsi" w:hAnsiTheme="minorHAnsi"/>
          <w:sz w:val="24"/>
          <w:szCs w:val="24"/>
        </w:rPr>
        <w:t xml:space="preserve"> effective notice</w:t>
      </w:r>
      <w:r w:rsidR="00793C18" w:rsidRPr="00793C18">
        <w:rPr>
          <w:rFonts w:asciiTheme="minorHAnsi" w:hAnsiTheme="minorHAnsi"/>
          <w:sz w:val="24"/>
          <w:szCs w:val="24"/>
        </w:rPr>
        <w:t xml:space="preserve"> to provide the required prescription drug pricing component data</w:t>
      </w:r>
      <w:r w:rsidR="00793C18">
        <w:rPr>
          <w:color w:val="FF0000"/>
          <w:sz w:val="24"/>
          <w:szCs w:val="24"/>
        </w:rPr>
        <w:t>.</w:t>
      </w:r>
    </w:p>
    <w:p w14:paraId="72676164" w14:textId="77777777" w:rsidR="00793C18" w:rsidRDefault="00793C18" w:rsidP="00793C18">
      <w:pPr>
        <w:rPr>
          <w:sz w:val="24"/>
          <w:szCs w:val="24"/>
        </w:rPr>
      </w:pPr>
    </w:p>
    <w:p w14:paraId="28D60879" w14:textId="53D61E59" w:rsidR="00C1504D" w:rsidRPr="006E5426" w:rsidRDefault="00C1504D" w:rsidP="00C1504D">
      <w:pPr>
        <w:jc w:val="both"/>
        <w:rPr>
          <w:rFonts w:asciiTheme="minorHAnsi" w:hAnsiTheme="minorHAnsi" w:cs="Arial"/>
          <w:sz w:val="24"/>
          <w:szCs w:val="24"/>
        </w:rPr>
      </w:pPr>
      <w:r w:rsidRPr="00CF634B">
        <w:rPr>
          <w:rFonts w:asciiTheme="minorHAnsi" w:hAnsiTheme="minorHAnsi" w:cs="Arial"/>
          <w:b/>
          <w:sz w:val="24"/>
          <w:szCs w:val="24"/>
        </w:rPr>
        <w:t xml:space="preserve">Recommended Board Action:  </w:t>
      </w:r>
      <w:r w:rsidR="00DD783C">
        <w:rPr>
          <w:rFonts w:asciiTheme="minorHAnsi" w:hAnsiTheme="minorHAnsi" w:cs="Arial"/>
          <w:sz w:val="24"/>
          <w:szCs w:val="24"/>
        </w:rPr>
        <w:t>Approve the proposed changes.</w:t>
      </w:r>
    </w:p>
    <w:p w14:paraId="694BD69C" w14:textId="1BD28AE1" w:rsidR="0062788D" w:rsidRPr="006E5426" w:rsidRDefault="0062788D" w:rsidP="0062788D">
      <w:pPr>
        <w:rPr>
          <w:rFonts w:asciiTheme="minorHAnsi" w:hAnsiTheme="minorHAnsi" w:cs="Arial"/>
          <w:sz w:val="24"/>
          <w:szCs w:val="24"/>
        </w:rPr>
      </w:pPr>
    </w:p>
    <w:p w14:paraId="77269591" w14:textId="77777777" w:rsidR="00F62FE2" w:rsidRPr="0062788D" w:rsidRDefault="00F62FE2" w:rsidP="0062788D">
      <w:pPr>
        <w:rPr>
          <w:rFonts w:asciiTheme="minorHAnsi" w:hAnsiTheme="minorHAnsi" w:cs="Arial"/>
          <w:sz w:val="24"/>
          <w:szCs w:val="24"/>
        </w:rPr>
      </w:pPr>
    </w:p>
    <w:p w14:paraId="2C1543C3" w14:textId="34903874" w:rsidR="0062788D" w:rsidRPr="00C1504D" w:rsidRDefault="00505EF7" w:rsidP="0062788D">
      <w:pPr>
        <w:rPr>
          <w:rFonts w:asciiTheme="minorHAnsi" w:hAnsiTheme="minorHAnsi" w:cs="Arial"/>
          <w:b/>
          <w:sz w:val="24"/>
          <w:szCs w:val="24"/>
        </w:rPr>
      </w:pPr>
      <w:r w:rsidRPr="00505EF7">
        <w:rPr>
          <w:rFonts w:asciiTheme="minorHAnsi" w:hAnsiTheme="minorHAnsi" w:cs="Arial"/>
          <w:b/>
          <w:sz w:val="24"/>
          <w:szCs w:val="24"/>
        </w:rPr>
        <w:t xml:space="preserve">Comment 2: </w:t>
      </w:r>
      <w:r w:rsidR="007113C4">
        <w:rPr>
          <w:rFonts w:asciiTheme="minorHAnsi" w:hAnsiTheme="minorHAnsi" w:cs="Arial"/>
          <w:b/>
          <w:sz w:val="24"/>
          <w:szCs w:val="24"/>
        </w:rPr>
        <w:t>(</w:t>
      </w:r>
      <w:r w:rsidR="0062788D" w:rsidRPr="00505EF7">
        <w:rPr>
          <w:rFonts w:asciiTheme="minorHAnsi" w:hAnsiTheme="minorHAnsi" w:cs="Arial"/>
          <w:b/>
          <w:sz w:val="24"/>
          <w:szCs w:val="24"/>
        </w:rPr>
        <w:t>Definitions</w:t>
      </w:r>
      <w:r w:rsidRPr="00505EF7">
        <w:rPr>
          <w:rFonts w:asciiTheme="minorHAnsi" w:hAnsiTheme="minorHAnsi" w:cs="Arial"/>
          <w:b/>
          <w:sz w:val="24"/>
          <w:szCs w:val="24"/>
        </w:rPr>
        <w:t>, Section 1</w:t>
      </w:r>
      <w:r w:rsidR="00F62FE2">
        <w:rPr>
          <w:rFonts w:asciiTheme="minorHAnsi" w:hAnsiTheme="minorHAnsi" w:cs="Arial"/>
          <w:b/>
          <w:sz w:val="24"/>
          <w:szCs w:val="24"/>
        </w:rPr>
        <w:t xml:space="preserve"> – Drug Product Family</w:t>
      </w:r>
      <w:r w:rsidR="007113C4">
        <w:rPr>
          <w:rFonts w:asciiTheme="minorHAnsi" w:hAnsiTheme="minorHAnsi" w:cs="Arial"/>
          <w:b/>
          <w:sz w:val="24"/>
          <w:szCs w:val="24"/>
        </w:rPr>
        <w:t>)</w:t>
      </w:r>
    </w:p>
    <w:p w14:paraId="46D56063" w14:textId="6504EBCD"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Drug Product Family:  We are unclear about the intent and impact of changes in the Proposed Rule that would require reporting of prescription drugs, but read this definition and the term’s use throughout the regulation to require that products which do not meet the criteria in 8732(1) or appear on the 25-25-25 report nevertheless would be subject to rep</w:t>
      </w:r>
      <w:r w:rsidR="000A3F46">
        <w:rPr>
          <w:rFonts w:asciiTheme="minorHAnsi" w:hAnsiTheme="minorHAnsi" w:cs="Arial"/>
          <w:sz w:val="24"/>
          <w:szCs w:val="24"/>
        </w:rPr>
        <w:t xml:space="preserve">orting because the products </w:t>
      </w:r>
      <w:r w:rsidRPr="0062788D">
        <w:rPr>
          <w:rFonts w:asciiTheme="minorHAnsi" w:hAnsiTheme="minorHAnsi" w:cs="Arial"/>
          <w:sz w:val="24"/>
          <w:szCs w:val="24"/>
        </w:rPr>
        <w:t xml:space="preserve">are within the same drug product family of a drug that satisfies one of the triggers. This is a significant overreach of regulatory authority and operates well beyond the scope of LD 1162. </w:t>
      </w:r>
    </w:p>
    <w:p w14:paraId="02DF99EC" w14:textId="77777777"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 </w:t>
      </w:r>
    </w:p>
    <w:p w14:paraId="5720B20C" w14:textId="77777777"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By requiring reporting by manufacturers of prescription drugs included in the same drug product family as those found in 8732(1) and 8712, but which do not actually meet either trigger, MHDO would be acting beyond the scope of its delegated legislative authority and penalizing a manufacturer based on a pricing decision of another company or other factors completely beyond the manufacturer’s control such as appearance of a product in the same drug product family on the 25-25-25 report.  The Proposed Rule creates significant disjointedness between the triggering products and the scope of products for which reporting would be required, which is concerning given the significant penalties associated with these requirements. </w:t>
      </w:r>
    </w:p>
    <w:p w14:paraId="1C5B62DC" w14:textId="77777777"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 </w:t>
      </w:r>
    </w:p>
    <w:p w14:paraId="78EC5CFF" w14:textId="77777777"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We would respectfully request the definition of “drug product family” and all uses of the term be removed from the Proposed Rule.  </w:t>
      </w:r>
    </w:p>
    <w:p w14:paraId="73FDF80E" w14:textId="77777777" w:rsidR="00F62FE2" w:rsidRDefault="0062788D" w:rsidP="00F62FE2">
      <w:pPr>
        <w:rPr>
          <w:rFonts w:asciiTheme="minorHAnsi" w:hAnsiTheme="minorHAnsi" w:cs="Arial"/>
          <w:sz w:val="24"/>
          <w:szCs w:val="24"/>
        </w:rPr>
      </w:pPr>
      <w:r w:rsidRPr="0062788D">
        <w:rPr>
          <w:rFonts w:asciiTheme="minorHAnsi" w:hAnsiTheme="minorHAnsi" w:cs="Arial"/>
          <w:sz w:val="24"/>
          <w:szCs w:val="24"/>
        </w:rPr>
        <w:t xml:space="preserve"> </w:t>
      </w:r>
    </w:p>
    <w:p w14:paraId="2F6DCB55" w14:textId="77777777" w:rsidR="006371B3" w:rsidRPr="008F6BD3" w:rsidRDefault="00F62FE2" w:rsidP="006371B3">
      <w:pPr>
        <w:pStyle w:val="CommentText"/>
        <w:rPr>
          <w:rFonts w:asciiTheme="minorHAnsi" w:hAnsiTheme="minorHAnsi" w:cs="Arial"/>
          <w:sz w:val="24"/>
          <w:szCs w:val="24"/>
        </w:rPr>
      </w:pPr>
      <w:r w:rsidRPr="00CF634B">
        <w:rPr>
          <w:rFonts w:asciiTheme="minorHAnsi" w:hAnsiTheme="minorHAnsi" w:cs="Arial"/>
          <w:b/>
          <w:sz w:val="24"/>
          <w:szCs w:val="24"/>
        </w:rPr>
        <w:t xml:space="preserve">MHDO Staff Response:  </w:t>
      </w:r>
      <w:r w:rsidR="006371B3" w:rsidRPr="008F6BD3">
        <w:rPr>
          <w:rFonts w:asciiTheme="minorHAnsi" w:hAnsiTheme="minorHAnsi" w:cs="Arial"/>
          <w:sz w:val="24"/>
          <w:szCs w:val="24"/>
        </w:rPr>
        <w:t xml:space="preserve">MHDO’s governing statute, Title 22, Chapter 1683 does not limit the MHDO </w:t>
      </w:r>
      <w:r w:rsidR="006371B3">
        <w:rPr>
          <w:rFonts w:asciiTheme="minorHAnsi" w:hAnsiTheme="minorHAnsi" w:cs="Arial"/>
          <w:sz w:val="24"/>
          <w:szCs w:val="24"/>
        </w:rPr>
        <w:t>to</w:t>
      </w:r>
      <w:r w:rsidR="006371B3" w:rsidRPr="008F6BD3">
        <w:rPr>
          <w:rFonts w:asciiTheme="minorHAnsi" w:hAnsiTheme="minorHAnsi" w:cs="Arial"/>
          <w:sz w:val="24"/>
          <w:szCs w:val="24"/>
        </w:rPr>
        <w:t xml:space="preserve"> collecting pricing com</w:t>
      </w:r>
      <w:r w:rsidR="006371B3">
        <w:rPr>
          <w:rFonts w:asciiTheme="minorHAnsi" w:hAnsiTheme="minorHAnsi" w:cs="Arial"/>
          <w:sz w:val="24"/>
          <w:szCs w:val="24"/>
        </w:rPr>
        <w:t>ponent data on drugs that</w:t>
      </w:r>
      <w:r w:rsidR="006371B3" w:rsidRPr="008F6BD3">
        <w:rPr>
          <w:rFonts w:asciiTheme="minorHAnsi" w:hAnsiTheme="minorHAnsi" w:cs="Arial"/>
          <w:sz w:val="24"/>
          <w:szCs w:val="24"/>
        </w:rPr>
        <w:t xml:space="preserve"> meet one of the three triggers defined in </w:t>
      </w:r>
      <w:r w:rsidR="006371B3" w:rsidRPr="008F6BD3">
        <w:rPr>
          <w:rFonts w:asciiTheme="minorHAnsi" w:hAnsiTheme="minorHAnsi"/>
          <w:sz w:val="24"/>
          <w:szCs w:val="24"/>
        </w:rPr>
        <w:t>22 MRS §8732(1).  There is no langu</w:t>
      </w:r>
      <w:r w:rsidR="006371B3">
        <w:rPr>
          <w:rFonts w:asciiTheme="minorHAnsi" w:hAnsiTheme="minorHAnsi"/>
          <w:sz w:val="24"/>
          <w:szCs w:val="24"/>
        </w:rPr>
        <w:t xml:space="preserve">age in 8732 suggesting any such limitation.  </w:t>
      </w:r>
      <w:r w:rsidR="006371B3" w:rsidRPr="008F6BD3">
        <w:rPr>
          <w:rFonts w:asciiTheme="minorHAnsi" w:hAnsiTheme="minorHAnsi"/>
          <w:sz w:val="24"/>
          <w:szCs w:val="24"/>
        </w:rPr>
        <w:t xml:space="preserve"> Furthermore, there is language in other sections of PL 2019, Ch. 470[LD 1162] </w:t>
      </w:r>
      <w:r w:rsidR="006371B3" w:rsidRPr="006371B3">
        <w:rPr>
          <w:rFonts w:asciiTheme="minorHAnsi" w:hAnsiTheme="minorHAnsi"/>
          <w:i/>
          <w:sz w:val="24"/>
          <w:szCs w:val="24"/>
        </w:rPr>
        <w:t>An Act</w:t>
      </w:r>
      <w:r w:rsidR="006371B3" w:rsidRPr="006371B3">
        <w:rPr>
          <w:rFonts w:asciiTheme="minorHAnsi" w:hAnsiTheme="minorHAnsi"/>
          <w:i/>
          <w:iCs/>
          <w:sz w:val="24"/>
          <w:szCs w:val="24"/>
        </w:rPr>
        <w:t xml:space="preserve"> to Further Expand Drug Price Transparency</w:t>
      </w:r>
      <w:r w:rsidR="006371B3" w:rsidRPr="006371B3">
        <w:rPr>
          <w:rFonts w:asciiTheme="minorHAnsi" w:hAnsiTheme="minorHAnsi"/>
          <w:i/>
          <w:sz w:val="24"/>
          <w:szCs w:val="24"/>
        </w:rPr>
        <w:t xml:space="preserve"> </w:t>
      </w:r>
      <w:r w:rsidR="006371B3" w:rsidRPr="006371B3">
        <w:rPr>
          <w:rFonts w:asciiTheme="minorHAnsi" w:hAnsiTheme="minorHAnsi"/>
          <w:sz w:val="24"/>
          <w:szCs w:val="24"/>
        </w:rPr>
        <w:t>(“the Act”)</w:t>
      </w:r>
      <w:r w:rsidR="006371B3" w:rsidRPr="008F6BD3">
        <w:rPr>
          <w:rFonts w:asciiTheme="minorHAnsi" w:hAnsiTheme="minorHAnsi"/>
          <w:sz w:val="24"/>
          <w:szCs w:val="24"/>
        </w:rPr>
        <w:t xml:space="preserve"> that indicate otherwise.   The Act states that an objective of the MHDO is to create and maintain a health system database used to issue the report require</w:t>
      </w:r>
      <w:r w:rsidR="006371B3">
        <w:rPr>
          <w:rFonts w:asciiTheme="minorHAnsi" w:hAnsiTheme="minorHAnsi"/>
          <w:sz w:val="24"/>
          <w:szCs w:val="24"/>
        </w:rPr>
        <w:t>d by section 8736; that</w:t>
      </w:r>
      <w:r w:rsidR="006371B3" w:rsidRPr="008F6BD3">
        <w:rPr>
          <w:rFonts w:asciiTheme="minorHAnsi" w:hAnsiTheme="minorHAnsi"/>
          <w:sz w:val="24"/>
          <w:szCs w:val="24"/>
        </w:rPr>
        <w:t xml:space="preserve"> a duty of the MHDO Board of Directors is to develop and implement policies for the collection, processing, storage and analysis of prescription drug price data; and that the MHDO shall produce and post each year a report “including information developed from the notifications and disclosures received pursuant to this subchapter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Act at Sections 1 (8703), 2 (8704) and 8 (8736).  </w:t>
      </w:r>
      <w:r w:rsidR="006371B3" w:rsidRPr="008F6BD3">
        <w:rPr>
          <w:rFonts w:asciiTheme="minorHAnsi" w:hAnsiTheme="minorHAnsi" w:cs="Arial"/>
          <w:sz w:val="24"/>
          <w:szCs w:val="24"/>
        </w:rPr>
        <w:t xml:space="preserve"> </w:t>
      </w:r>
    </w:p>
    <w:p w14:paraId="221E3A85" w14:textId="77777777" w:rsidR="006371B3" w:rsidRDefault="006371B3" w:rsidP="006371B3">
      <w:pPr>
        <w:pStyle w:val="CommentText"/>
        <w:rPr>
          <w:rFonts w:asciiTheme="minorHAnsi" w:hAnsiTheme="minorHAnsi" w:cs="Arial"/>
          <w:sz w:val="24"/>
          <w:szCs w:val="24"/>
        </w:rPr>
      </w:pPr>
    </w:p>
    <w:p w14:paraId="7CB7D475" w14:textId="77777777" w:rsidR="006371B3" w:rsidRPr="0028535B" w:rsidRDefault="006371B3" w:rsidP="006371B3">
      <w:pPr>
        <w:pStyle w:val="CommentText"/>
        <w:rPr>
          <w:rFonts w:asciiTheme="minorHAnsi" w:hAnsiTheme="minorHAnsi" w:cs="Arial"/>
          <w:sz w:val="24"/>
          <w:szCs w:val="24"/>
        </w:rPr>
      </w:pPr>
      <w:r w:rsidRPr="00793C18">
        <w:rPr>
          <w:rFonts w:asciiTheme="minorHAnsi" w:hAnsiTheme="minorHAnsi" w:cs="Arial"/>
          <w:sz w:val="24"/>
          <w:szCs w:val="24"/>
        </w:rPr>
        <w:t>It was always the intent (stated in the January 16, 2020 MHDO Comment and Response document) to</w:t>
      </w:r>
      <w:r>
        <w:rPr>
          <w:rFonts w:asciiTheme="minorHAnsi" w:hAnsiTheme="minorHAnsi" w:cs="Arial"/>
          <w:sz w:val="24"/>
          <w:szCs w:val="24"/>
        </w:rPr>
        <w:t xml:space="preserve"> not only</w:t>
      </w:r>
      <w:r w:rsidRPr="00793C18">
        <w:rPr>
          <w:rFonts w:asciiTheme="minorHAnsi" w:hAnsiTheme="minorHAnsi" w:cs="Arial"/>
          <w:sz w:val="24"/>
          <w:szCs w:val="24"/>
        </w:rPr>
        <w:t xml:space="preserve"> focus</w:t>
      </w:r>
      <w:r>
        <w:rPr>
          <w:rFonts w:asciiTheme="minorHAnsi" w:hAnsiTheme="minorHAnsi" w:cs="Arial"/>
          <w:sz w:val="24"/>
          <w:szCs w:val="24"/>
        </w:rPr>
        <w:t xml:space="preserve"> on</w:t>
      </w:r>
      <w:r w:rsidRPr="00793C18">
        <w:rPr>
          <w:rFonts w:asciiTheme="minorHAnsi" w:hAnsiTheme="minorHAnsi" w:cs="Arial"/>
          <w:sz w:val="24"/>
          <w:szCs w:val="24"/>
        </w:rPr>
        <w:t xml:space="preserve"> the reporting of pricing component</w:t>
      </w:r>
      <w:r>
        <w:rPr>
          <w:rFonts w:asciiTheme="minorHAnsi" w:hAnsiTheme="minorHAnsi" w:cs="Arial"/>
          <w:sz w:val="24"/>
          <w:szCs w:val="24"/>
        </w:rPr>
        <w:t xml:space="preserve"> data for drugs that meet one of the triggers defined in statute (new drug or price increases) but to additionally seek information related to drugs identified as the </w:t>
      </w:r>
      <w:r w:rsidRPr="00F47794">
        <w:rPr>
          <w:rFonts w:asciiTheme="minorHAnsi" w:hAnsiTheme="minorHAnsi"/>
          <w:sz w:val="24"/>
          <w:szCs w:val="24"/>
        </w:rPr>
        <w:t>most costly, most utilized</w:t>
      </w:r>
      <w:r>
        <w:rPr>
          <w:rFonts w:asciiTheme="minorHAnsi" w:hAnsiTheme="minorHAnsi"/>
          <w:sz w:val="24"/>
          <w:szCs w:val="24"/>
        </w:rPr>
        <w:t>, or having</w:t>
      </w:r>
      <w:r w:rsidRPr="00F47794">
        <w:rPr>
          <w:rFonts w:asciiTheme="minorHAnsi" w:hAnsiTheme="minorHAnsi"/>
          <w:sz w:val="24"/>
          <w:szCs w:val="24"/>
        </w:rPr>
        <w:t xml:space="preserve"> the highest year over year increases in the MHDO’s annual pharmacy report as required in</w:t>
      </w:r>
      <w:r>
        <w:rPr>
          <w:rFonts w:asciiTheme="minorHAnsi" w:hAnsiTheme="minorHAnsi"/>
          <w:sz w:val="24"/>
          <w:szCs w:val="24"/>
        </w:rPr>
        <w:t xml:space="preserve"> 22 MRS</w:t>
      </w:r>
      <w:r w:rsidRPr="00F47794">
        <w:rPr>
          <w:rFonts w:asciiTheme="minorHAnsi" w:hAnsiTheme="minorHAnsi"/>
          <w:sz w:val="24"/>
          <w:szCs w:val="24"/>
        </w:rPr>
        <w:t xml:space="preserve"> </w:t>
      </w:r>
      <w:r w:rsidRPr="008D7AD2">
        <w:rPr>
          <w:rFonts w:asciiTheme="minorHAnsi" w:hAnsiTheme="minorHAnsi"/>
          <w:sz w:val="24"/>
          <w:szCs w:val="24"/>
        </w:rPr>
        <w:t>§8712</w:t>
      </w:r>
      <w:r>
        <w:rPr>
          <w:rFonts w:asciiTheme="minorHAnsi" w:hAnsiTheme="minorHAnsi"/>
          <w:sz w:val="24"/>
          <w:szCs w:val="24"/>
        </w:rPr>
        <w:t>(</w:t>
      </w:r>
      <w:r w:rsidRPr="00CF634B">
        <w:rPr>
          <w:rFonts w:asciiTheme="minorHAnsi" w:hAnsiTheme="minorHAnsi"/>
          <w:sz w:val="24"/>
          <w:szCs w:val="24"/>
        </w:rPr>
        <w:t>5</w:t>
      </w:r>
      <w:r>
        <w:rPr>
          <w:rFonts w:asciiTheme="minorHAnsi" w:hAnsiTheme="minorHAnsi"/>
          <w:sz w:val="24"/>
          <w:szCs w:val="24"/>
        </w:rPr>
        <w:t>)</w:t>
      </w:r>
      <w:r w:rsidRPr="00CF634B">
        <w:rPr>
          <w:rFonts w:asciiTheme="minorHAnsi" w:hAnsiTheme="minorHAnsi"/>
          <w:sz w:val="24"/>
          <w:szCs w:val="24"/>
        </w:rPr>
        <w:t>.</w:t>
      </w:r>
      <w:r>
        <w:rPr>
          <w:rFonts w:asciiTheme="minorHAnsi" w:hAnsiTheme="minorHAnsi"/>
          <w:sz w:val="24"/>
          <w:szCs w:val="24"/>
        </w:rPr>
        <w:t xml:space="preserve">   Further, it has become clear that where drugs of interest are available from multiple sources, </w:t>
      </w:r>
      <w:r>
        <w:rPr>
          <w:rFonts w:asciiTheme="minorHAnsi" w:hAnsiTheme="minorHAnsi" w:cs="Arial"/>
          <w:bCs/>
          <w:sz w:val="24"/>
          <w:szCs w:val="24"/>
        </w:rPr>
        <w:t xml:space="preserve">understanding the impact of competitive pricing for drug products that fall within the same drug product family </w:t>
      </w:r>
      <w:r>
        <w:rPr>
          <w:rFonts w:asciiTheme="minorHAnsi" w:hAnsiTheme="minorHAnsi"/>
          <w:sz w:val="24"/>
          <w:szCs w:val="24"/>
        </w:rPr>
        <w:t xml:space="preserve">is relevant information to providing greater consumer awareness on the factors contributing to the costs of prescription drugs in the state.  </w:t>
      </w:r>
    </w:p>
    <w:p w14:paraId="335E8C08" w14:textId="77777777" w:rsidR="006371B3" w:rsidRDefault="006371B3" w:rsidP="006371B3">
      <w:pPr>
        <w:pStyle w:val="CommentText"/>
        <w:rPr>
          <w:rFonts w:asciiTheme="minorHAnsi" w:hAnsiTheme="minorHAnsi"/>
          <w:sz w:val="24"/>
          <w:szCs w:val="24"/>
        </w:rPr>
      </w:pPr>
    </w:p>
    <w:p w14:paraId="4D2EEEBD" w14:textId="77777777" w:rsidR="006371B3" w:rsidRDefault="006371B3" w:rsidP="006371B3">
      <w:pPr>
        <w:pStyle w:val="CommentText"/>
        <w:rPr>
          <w:rFonts w:ascii="Calibri" w:hAnsi="Calibri"/>
          <w:sz w:val="24"/>
          <w:szCs w:val="24"/>
        </w:rPr>
      </w:pPr>
      <w:r w:rsidRPr="00E1371F">
        <w:rPr>
          <w:rFonts w:asciiTheme="minorHAnsi" w:hAnsiTheme="minorHAnsi"/>
          <w:sz w:val="24"/>
          <w:szCs w:val="24"/>
        </w:rPr>
        <w:t>MHDO is not adding any new reporting triggers (which are specific only to Section 2(B)</w:t>
      </w:r>
      <w:r>
        <w:rPr>
          <w:rFonts w:asciiTheme="minorHAnsi" w:hAnsiTheme="minorHAnsi"/>
          <w:sz w:val="24"/>
          <w:szCs w:val="24"/>
        </w:rPr>
        <w:t>)</w:t>
      </w:r>
      <w:r w:rsidRPr="00E1371F">
        <w:rPr>
          <w:rFonts w:asciiTheme="minorHAnsi" w:hAnsiTheme="minorHAnsi"/>
          <w:sz w:val="24"/>
          <w:szCs w:val="24"/>
        </w:rPr>
        <w:t>, but</w:t>
      </w:r>
      <w:r>
        <w:rPr>
          <w:rFonts w:asciiTheme="minorHAnsi" w:hAnsiTheme="minorHAnsi"/>
          <w:sz w:val="24"/>
          <w:szCs w:val="24"/>
        </w:rPr>
        <w:t xml:space="preserve"> is instead providing clarity and </w:t>
      </w:r>
      <w:r w:rsidRPr="00E1371F">
        <w:rPr>
          <w:rFonts w:asciiTheme="minorHAnsi" w:hAnsiTheme="minorHAnsi"/>
          <w:sz w:val="24"/>
          <w:szCs w:val="24"/>
        </w:rPr>
        <w:t>predictability regarding the</w:t>
      </w:r>
      <w:r>
        <w:rPr>
          <w:rFonts w:asciiTheme="minorHAnsi" w:hAnsiTheme="minorHAnsi"/>
          <w:sz w:val="24"/>
          <w:szCs w:val="24"/>
        </w:rPr>
        <w:t xml:space="preserve"> pool of</w:t>
      </w:r>
      <w:r w:rsidRPr="00E1371F">
        <w:rPr>
          <w:rFonts w:asciiTheme="minorHAnsi" w:hAnsiTheme="minorHAnsi"/>
          <w:sz w:val="24"/>
          <w:szCs w:val="24"/>
        </w:rPr>
        <w:t xml:space="preserve"> NDCs for which MHDO intends to request pricing component data.</w:t>
      </w:r>
      <w:r>
        <w:rPr>
          <w:rFonts w:asciiTheme="minorHAnsi" w:hAnsiTheme="minorHAnsi"/>
          <w:sz w:val="24"/>
          <w:szCs w:val="24"/>
        </w:rPr>
        <w:t xml:space="preserve"> </w:t>
      </w:r>
    </w:p>
    <w:p w14:paraId="1C89AEB7" w14:textId="77777777" w:rsidR="006371B3" w:rsidRDefault="006371B3" w:rsidP="006371B3">
      <w:pPr>
        <w:rPr>
          <w:rFonts w:ascii="Calibri" w:hAnsi="Calibri"/>
          <w:sz w:val="24"/>
          <w:szCs w:val="24"/>
        </w:rPr>
      </w:pPr>
    </w:p>
    <w:p w14:paraId="157C9A59" w14:textId="7210CC4E" w:rsidR="006371B3" w:rsidRPr="006371B3" w:rsidRDefault="006371B3" w:rsidP="006371B3">
      <w:pPr>
        <w:rPr>
          <w:rFonts w:ascii="Calibri" w:hAnsi="Calibri"/>
          <w:sz w:val="24"/>
          <w:szCs w:val="24"/>
        </w:rPr>
      </w:pPr>
      <w:r>
        <w:rPr>
          <w:rFonts w:ascii="Calibri" w:hAnsi="Calibri"/>
          <w:sz w:val="24"/>
          <w:szCs w:val="24"/>
        </w:rPr>
        <w:t xml:space="preserve">MHDO is not interested in unnecessary data collection.  </w:t>
      </w:r>
      <w:r>
        <w:rPr>
          <w:rFonts w:asciiTheme="minorHAnsi" w:hAnsiTheme="minorHAnsi"/>
          <w:sz w:val="24"/>
          <w:szCs w:val="24"/>
        </w:rPr>
        <w:t xml:space="preserve">As discussed with the MHDO board and during the work session on 1162, MHDO intends to focus the reporting of pricing component data on relevant drug pricing information and may not require manufacturers to produce pricing component data for every drug that meets one of the triggers that requires a notification to MHDO.  </w:t>
      </w:r>
      <w:r w:rsidRPr="005E4E0D">
        <w:rPr>
          <w:rFonts w:ascii="Calibri" w:hAnsi="Calibri"/>
          <w:sz w:val="24"/>
          <w:szCs w:val="24"/>
        </w:rPr>
        <w:t xml:space="preserve">  </w:t>
      </w:r>
      <w:r>
        <w:rPr>
          <w:rFonts w:asciiTheme="minorHAnsi" w:hAnsiTheme="minorHAnsi"/>
          <w:sz w:val="24"/>
          <w:szCs w:val="24"/>
        </w:rPr>
        <w:t xml:space="preserve">To provide predictability, the proposed changes in Section 2. C. 1. (a-c), state the methodology MHDO will apply to identify NDCs of interest for pricing component data.  In addition, Section 2. C. 2.  requires MHDO to publicly post the drugs that MHDO will request pricing component data for in mid-February.   Section 2. C. 3. states MHDO cannot ask for pricing component data for 30 days after the posting.  Reporting entities then have 60 days from the date we officially notify them of the NDCs for which we are requesting pricing component data.  These changes will give </w:t>
      </w:r>
      <w:r w:rsidRPr="00793C18">
        <w:rPr>
          <w:rFonts w:asciiTheme="minorHAnsi" w:hAnsiTheme="minorHAnsi"/>
          <w:sz w:val="24"/>
          <w:szCs w:val="24"/>
        </w:rPr>
        <w:t>reporting entities 90 days</w:t>
      </w:r>
      <w:r>
        <w:rPr>
          <w:rFonts w:asciiTheme="minorHAnsi" w:hAnsiTheme="minorHAnsi"/>
          <w:sz w:val="24"/>
          <w:szCs w:val="24"/>
        </w:rPr>
        <w:t xml:space="preserve"> effective notice</w:t>
      </w:r>
      <w:r w:rsidRPr="00793C18">
        <w:rPr>
          <w:rFonts w:asciiTheme="minorHAnsi" w:hAnsiTheme="minorHAnsi"/>
          <w:sz w:val="24"/>
          <w:szCs w:val="24"/>
        </w:rPr>
        <w:t xml:space="preserve"> to provide the required prescription drug pricing component dat</w:t>
      </w:r>
      <w:r w:rsidRPr="006371B3">
        <w:rPr>
          <w:rFonts w:asciiTheme="minorHAnsi" w:hAnsiTheme="minorHAnsi"/>
          <w:sz w:val="24"/>
          <w:szCs w:val="24"/>
        </w:rPr>
        <w:t>a</w:t>
      </w:r>
      <w:r w:rsidRPr="006371B3">
        <w:rPr>
          <w:sz w:val="24"/>
          <w:szCs w:val="24"/>
        </w:rPr>
        <w:t>.</w:t>
      </w:r>
    </w:p>
    <w:p w14:paraId="71222CCA" w14:textId="32162F22" w:rsidR="00F62FE2" w:rsidRPr="00CF634B" w:rsidRDefault="00F62FE2" w:rsidP="006371B3">
      <w:pPr>
        <w:pStyle w:val="CommentText"/>
        <w:rPr>
          <w:rFonts w:asciiTheme="minorHAnsi" w:hAnsiTheme="minorHAnsi" w:cs="TimesNewRomanPSMT"/>
          <w:sz w:val="24"/>
          <w:szCs w:val="24"/>
        </w:rPr>
      </w:pPr>
    </w:p>
    <w:p w14:paraId="471D3D64" w14:textId="77777777" w:rsidR="00F62FE2" w:rsidRPr="00CF634B" w:rsidRDefault="00F62FE2" w:rsidP="00F62FE2">
      <w:pPr>
        <w:jc w:val="both"/>
        <w:rPr>
          <w:rFonts w:asciiTheme="minorHAnsi" w:hAnsiTheme="minorHAnsi" w:cs="Arial"/>
          <w:b/>
          <w:sz w:val="24"/>
          <w:szCs w:val="24"/>
        </w:rPr>
      </w:pPr>
    </w:p>
    <w:p w14:paraId="47C8F07B" w14:textId="2704BC07" w:rsidR="00F62FE2" w:rsidRPr="00A91C53" w:rsidRDefault="00F62FE2" w:rsidP="00F62FE2">
      <w:pPr>
        <w:jc w:val="both"/>
        <w:rPr>
          <w:rFonts w:asciiTheme="minorHAnsi" w:hAnsiTheme="minorHAnsi" w:cs="Arial"/>
          <w:sz w:val="24"/>
          <w:szCs w:val="24"/>
        </w:rPr>
      </w:pPr>
      <w:r w:rsidRPr="00CF634B">
        <w:rPr>
          <w:rFonts w:asciiTheme="minorHAnsi" w:hAnsiTheme="minorHAnsi" w:cs="Arial"/>
          <w:b/>
          <w:sz w:val="24"/>
          <w:szCs w:val="24"/>
        </w:rPr>
        <w:t xml:space="preserve">Recommended Board Action:  </w:t>
      </w:r>
      <w:r w:rsidR="00A91C53" w:rsidRPr="00A91C53">
        <w:rPr>
          <w:rFonts w:asciiTheme="minorHAnsi" w:hAnsiTheme="minorHAnsi" w:cs="Arial"/>
          <w:sz w:val="24"/>
          <w:szCs w:val="24"/>
        </w:rPr>
        <w:t>Approve the proposed changes.</w:t>
      </w:r>
    </w:p>
    <w:p w14:paraId="02BE7FA5" w14:textId="77777777" w:rsidR="00F62FE2" w:rsidRPr="00A91C53" w:rsidRDefault="00F62FE2" w:rsidP="00F62FE2">
      <w:pPr>
        <w:rPr>
          <w:rFonts w:asciiTheme="minorHAnsi" w:hAnsiTheme="minorHAnsi" w:cs="Arial"/>
          <w:sz w:val="24"/>
          <w:szCs w:val="24"/>
        </w:rPr>
      </w:pPr>
    </w:p>
    <w:p w14:paraId="55ABC19B" w14:textId="77777777" w:rsidR="00F62FE2" w:rsidRDefault="00F62FE2" w:rsidP="00F62FE2">
      <w:pPr>
        <w:rPr>
          <w:rFonts w:asciiTheme="minorHAnsi" w:hAnsiTheme="minorHAnsi" w:cs="Arial"/>
          <w:b/>
          <w:sz w:val="24"/>
          <w:szCs w:val="24"/>
        </w:rPr>
      </w:pPr>
    </w:p>
    <w:p w14:paraId="09D2207D" w14:textId="28C38968" w:rsidR="00F62FE2" w:rsidRPr="00C1504D" w:rsidRDefault="00F62FE2" w:rsidP="00F62FE2">
      <w:pPr>
        <w:rPr>
          <w:rFonts w:asciiTheme="minorHAnsi" w:hAnsiTheme="minorHAnsi" w:cs="Arial"/>
          <w:b/>
          <w:sz w:val="24"/>
          <w:szCs w:val="24"/>
        </w:rPr>
      </w:pPr>
      <w:r w:rsidRPr="00505EF7">
        <w:rPr>
          <w:rFonts w:asciiTheme="minorHAnsi" w:hAnsiTheme="minorHAnsi" w:cs="Arial"/>
          <w:b/>
          <w:sz w:val="24"/>
          <w:szCs w:val="24"/>
        </w:rPr>
        <w:t xml:space="preserve">Comment </w:t>
      </w:r>
      <w:r>
        <w:rPr>
          <w:rFonts w:asciiTheme="minorHAnsi" w:hAnsiTheme="minorHAnsi" w:cs="Arial"/>
          <w:b/>
          <w:sz w:val="24"/>
          <w:szCs w:val="24"/>
        </w:rPr>
        <w:t>3</w:t>
      </w:r>
      <w:r w:rsidRPr="00505EF7">
        <w:rPr>
          <w:rFonts w:asciiTheme="minorHAnsi" w:hAnsiTheme="minorHAnsi" w:cs="Arial"/>
          <w:b/>
          <w:sz w:val="24"/>
          <w:szCs w:val="24"/>
        </w:rPr>
        <w:t xml:space="preserve">: </w:t>
      </w:r>
      <w:r>
        <w:rPr>
          <w:rFonts w:asciiTheme="minorHAnsi" w:hAnsiTheme="minorHAnsi" w:cs="Arial"/>
          <w:b/>
          <w:sz w:val="24"/>
          <w:szCs w:val="24"/>
        </w:rPr>
        <w:t>(</w:t>
      </w:r>
      <w:r w:rsidRPr="00505EF7">
        <w:rPr>
          <w:rFonts w:asciiTheme="minorHAnsi" w:hAnsiTheme="minorHAnsi" w:cs="Arial"/>
          <w:b/>
          <w:sz w:val="24"/>
          <w:szCs w:val="24"/>
        </w:rPr>
        <w:t>Definitions, Section 1</w:t>
      </w:r>
      <w:r>
        <w:rPr>
          <w:rFonts w:asciiTheme="minorHAnsi" w:hAnsiTheme="minorHAnsi" w:cs="Arial"/>
          <w:b/>
          <w:sz w:val="24"/>
          <w:szCs w:val="24"/>
        </w:rPr>
        <w:t xml:space="preserve"> – Manufacturers)</w:t>
      </w:r>
    </w:p>
    <w:p w14:paraId="2C51A398" w14:textId="360FD004" w:rsid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Manufacturers:  The Proposed Rule amends the definition of “manufacturers” to include repackagers and we understand this change was made at the request of reporting entities. However, to avoid NDCs being reported multiple times by entities in the same reporting entity category, we request guidelines that outline which scenarios each entity should report to avoid unnecessary duplication. </w:t>
      </w:r>
    </w:p>
    <w:p w14:paraId="7CC6D764" w14:textId="77777777" w:rsidR="00C1504D" w:rsidRDefault="00C1504D" w:rsidP="00C1504D">
      <w:pPr>
        <w:autoSpaceDE w:val="0"/>
        <w:autoSpaceDN w:val="0"/>
        <w:adjustRightInd w:val="0"/>
        <w:jc w:val="both"/>
        <w:rPr>
          <w:rFonts w:asciiTheme="minorHAnsi" w:hAnsiTheme="minorHAnsi" w:cs="Arial"/>
          <w:b/>
          <w:sz w:val="24"/>
          <w:szCs w:val="24"/>
        </w:rPr>
      </w:pPr>
    </w:p>
    <w:p w14:paraId="3C12D0E9" w14:textId="3E0650C1" w:rsidR="00C1504D" w:rsidRPr="00963081" w:rsidRDefault="00C1504D" w:rsidP="00C1504D">
      <w:pPr>
        <w:autoSpaceDE w:val="0"/>
        <w:autoSpaceDN w:val="0"/>
        <w:adjustRightInd w:val="0"/>
        <w:jc w:val="both"/>
        <w:rPr>
          <w:rFonts w:asciiTheme="minorHAnsi" w:hAnsiTheme="minorHAnsi" w:cs="TimesNewRomanPSMT"/>
          <w:bCs/>
          <w:sz w:val="24"/>
          <w:szCs w:val="24"/>
        </w:rPr>
      </w:pPr>
      <w:r w:rsidRPr="00CF634B">
        <w:rPr>
          <w:rFonts w:asciiTheme="minorHAnsi" w:hAnsiTheme="minorHAnsi" w:cs="Arial"/>
          <w:b/>
          <w:sz w:val="24"/>
          <w:szCs w:val="24"/>
        </w:rPr>
        <w:t xml:space="preserve">MHDO Staff Response:  </w:t>
      </w:r>
      <w:r w:rsidR="00963081">
        <w:rPr>
          <w:rFonts w:asciiTheme="minorHAnsi" w:hAnsiTheme="minorHAnsi" w:cs="Arial"/>
          <w:bCs/>
          <w:sz w:val="24"/>
          <w:szCs w:val="24"/>
        </w:rPr>
        <w:t xml:space="preserve">Manufacturers should provide information regarding NDCs that are manufactured or repackaged by the </w:t>
      </w:r>
      <w:r w:rsidR="009C35CF">
        <w:rPr>
          <w:rFonts w:asciiTheme="minorHAnsi" w:hAnsiTheme="minorHAnsi" w:cs="Arial"/>
          <w:bCs/>
          <w:sz w:val="24"/>
          <w:szCs w:val="24"/>
        </w:rPr>
        <w:t xml:space="preserve">reporting </w:t>
      </w:r>
      <w:r w:rsidR="00963081">
        <w:rPr>
          <w:rFonts w:asciiTheme="minorHAnsi" w:hAnsiTheme="minorHAnsi" w:cs="Arial"/>
          <w:bCs/>
          <w:sz w:val="24"/>
          <w:szCs w:val="24"/>
        </w:rPr>
        <w:t xml:space="preserve">entity and for which the </w:t>
      </w:r>
      <w:r w:rsidR="009C35CF">
        <w:rPr>
          <w:rFonts w:asciiTheme="minorHAnsi" w:hAnsiTheme="minorHAnsi" w:cs="Arial"/>
          <w:bCs/>
          <w:sz w:val="24"/>
          <w:szCs w:val="24"/>
        </w:rPr>
        <w:t xml:space="preserve">reporting </w:t>
      </w:r>
      <w:r w:rsidR="00963081">
        <w:rPr>
          <w:rFonts w:asciiTheme="minorHAnsi" w:hAnsiTheme="minorHAnsi" w:cs="Arial"/>
          <w:bCs/>
          <w:sz w:val="24"/>
          <w:szCs w:val="24"/>
        </w:rPr>
        <w:t xml:space="preserve">entity sets the WAC price.  A repackager should </w:t>
      </w:r>
      <w:r w:rsidR="00D623FB">
        <w:rPr>
          <w:rFonts w:asciiTheme="minorHAnsi" w:hAnsiTheme="minorHAnsi" w:cs="Arial"/>
          <w:bCs/>
          <w:sz w:val="24"/>
          <w:szCs w:val="24"/>
        </w:rPr>
        <w:t>provide pricing component data for NDCs that apply to repackaged products, whereas a source manufacturer for repackaged products should provide pricing component data for source product NDCs.</w:t>
      </w:r>
    </w:p>
    <w:p w14:paraId="38E5590E" w14:textId="77777777" w:rsidR="00C1504D" w:rsidRPr="00CF634B" w:rsidRDefault="00C1504D" w:rsidP="00C1504D">
      <w:pPr>
        <w:jc w:val="both"/>
        <w:rPr>
          <w:rFonts w:asciiTheme="minorHAnsi" w:hAnsiTheme="minorHAnsi" w:cs="Arial"/>
          <w:b/>
          <w:sz w:val="24"/>
          <w:szCs w:val="24"/>
        </w:rPr>
      </w:pPr>
    </w:p>
    <w:p w14:paraId="519642D4" w14:textId="1ECB7C00" w:rsidR="00C1504D" w:rsidRDefault="00C1504D" w:rsidP="00C1504D">
      <w:pPr>
        <w:jc w:val="both"/>
        <w:rPr>
          <w:rFonts w:asciiTheme="minorHAnsi" w:hAnsiTheme="minorHAnsi" w:cs="Arial"/>
          <w:b/>
          <w:sz w:val="24"/>
          <w:szCs w:val="24"/>
        </w:rPr>
      </w:pPr>
      <w:r w:rsidRPr="00CF634B">
        <w:rPr>
          <w:rFonts w:asciiTheme="minorHAnsi" w:hAnsiTheme="minorHAnsi" w:cs="Arial"/>
          <w:b/>
          <w:sz w:val="24"/>
          <w:szCs w:val="24"/>
        </w:rPr>
        <w:t xml:space="preserve">Recommended Board Action:  </w:t>
      </w:r>
      <w:r w:rsidR="00047042">
        <w:rPr>
          <w:rFonts w:asciiTheme="minorHAnsi" w:hAnsiTheme="minorHAnsi" w:cs="Arial"/>
          <w:bCs/>
          <w:sz w:val="24"/>
          <w:szCs w:val="24"/>
        </w:rPr>
        <w:t>Approve the proposed changes</w:t>
      </w:r>
      <w:r w:rsidR="00D623FB">
        <w:rPr>
          <w:rFonts w:asciiTheme="minorHAnsi" w:hAnsiTheme="minorHAnsi" w:cs="Arial"/>
          <w:bCs/>
          <w:sz w:val="24"/>
          <w:szCs w:val="24"/>
        </w:rPr>
        <w:t>.</w:t>
      </w:r>
    </w:p>
    <w:p w14:paraId="7DB3DFFC" w14:textId="77777777" w:rsidR="00C1504D" w:rsidRDefault="00C1504D" w:rsidP="0062788D">
      <w:pPr>
        <w:rPr>
          <w:rFonts w:asciiTheme="minorHAnsi" w:hAnsiTheme="minorHAnsi" w:cs="Arial"/>
          <w:sz w:val="24"/>
          <w:szCs w:val="24"/>
        </w:rPr>
      </w:pPr>
    </w:p>
    <w:p w14:paraId="6F146C18" w14:textId="68CC3902"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 </w:t>
      </w:r>
    </w:p>
    <w:p w14:paraId="2199AFB3" w14:textId="6E5A92C4" w:rsidR="0062788D" w:rsidRPr="00C1504D" w:rsidRDefault="00505EF7" w:rsidP="0062788D">
      <w:pPr>
        <w:rPr>
          <w:rFonts w:asciiTheme="minorHAnsi" w:hAnsiTheme="minorHAnsi" w:cs="Arial"/>
          <w:sz w:val="24"/>
          <w:szCs w:val="24"/>
        </w:rPr>
      </w:pPr>
      <w:r w:rsidRPr="00505EF7">
        <w:rPr>
          <w:rFonts w:asciiTheme="minorHAnsi" w:hAnsiTheme="minorHAnsi" w:cs="Arial"/>
          <w:b/>
          <w:sz w:val="24"/>
          <w:szCs w:val="24"/>
        </w:rPr>
        <w:t xml:space="preserve">Comment </w:t>
      </w:r>
      <w:r w:rsidR="00C35DDD">
        <w:rPr>
          <w:rFonts w:asciiTheme="minorHAnsi" w:hAnsiTheme="minorHAnsi" w:cs="Arial"/>
          <w:b/>
          <w:sz w:val="24"/>
          <w:szCs w:val="24"/>
        </w:rPr>
        <w:t>4</w:t>
      </w:r>
      <w:r w:rsidRPr="00505EF7">
        <w:rPr>
          <w:rFonts w:asciiTheme="minorHAnsi" w:hAnsiTheme="minorHAnsi" w:cs="Arial"/>
          <w:b/>
          <w:sz w:val="24"/>
          <w:szCs w:val="24"/>
        </w:rPr>
        <w:t xml:space="preserve">: </w:t>
      </w:r>
      <w:r w:rsidR="00EA7056">
        <w:rPr>
          <w:rFonts w:asciiTheme="minorHAnsi" w:hAnsiTheme="minorHAnsi" w:cs="Arial"/>
          <w:b/>
          <w:sz w:val="24"/>
          <w:szCs w:val="24"/>
        </w:rPr>
        <w:t>(</w:t>
      </w:r>
      <w:r w:rsidR="0062788D" w:rsidRPr="00505EF7">
        <w:rPr>
          <w:rFonts w:asciiTheme="minorHAnsi" w:hAnsiTheme="minorHAnsi" w:cs="Arial"/>
          <w:b/>
          <w:sz w:val="24"/>
          <w:szCs w:val="24"/>
        </w:rPr>
        <w:t>MHDO Notification to Reporters</w:t>
      </w:r>
      <w:r w:rsidRPr="00505EF7">
        <w:rPr>
          <w:rFonts w:asciiTheme="minorHAnsi" w:hAnsiTheme="minorHAnsi" w:cs="Arial"/>
          <w:b/>
          <w:sz w:val="24"/>
          <w:szCs w:val="24"/>
        </w:rPr>
        <w:t>, Section 2(C)(1)(b)</w:t>
      </w:r>
      <w:r w:rsidR="00EA7056">
        <w:rPr>
          <w:rFonts w:asciiTheme="minorHAnsi" w:hAnsiTheme="minorHAnsi" w:cs="Arial"/>
          <w:b/>
          <w:sz w:val="24"/>
          <w:szCs w:val="24"/>
        </w:rPr>
        <w:t>)</w:t>
      </w:r>
      <w:r w:rsidRPr="0062788D">
        <w:rPr>
          <w:rFonts w:asciiTheme="minorHAnsi" w:hAnsiTheme="minorHAnsi" w:cs="Arial"/>
          <w:sz w:val="24"/>
          <w:szCs w:val="24"/>
        </w:rPr>
        <w:t xml:space="preserve"> </w:t>
      </w:r>
      <w:r w:rsidR="0062788D" w:rsidRPr="00505EF7">
        <w:rPr>
          <w:rFonts w:asciiTheme="minorHAnsi" w:hAnsiTheme="minorHAnsi" w:cs="Arial"/>
          <w:b/>
          <w:sz w:val="24"/>
          <w:szCs w:val="24"/>
        </w:rPr>
        <w:t xml:space="preserve"> </w:t>
      </w:r>
    </w:p>
    <w:p w14:paraId="1FF61875" w14:textId="77777777" w:rsidR="0062788D" w:rsidRPr="0062788D" w:rsidRDefault="0062788D" w:rsidP="0062788D">
      <w:pPr>
        <w:rPr>
          <w:rFonts w:asciiTheme="minorHAnsi" w:hAnsiTheme="minorHAnsi" w:cs="Arial"/>
          <w:sz w:val="24"/>
          <w:szCs w:val="24"/>
        </w:rPr>
      </w:pPr>
      <w:r w:rsidRPr="0062788D">
        <w:rPr>
          <w:rFonts w:asciiTheme="minorHAnsi" w:hAnsiTheme="minorHAnsi" w:cs="Arial"/>
          <w:sz w:val="24"/>
          <w:szCs w:val="24"/>
        </w:rPr>
        <w:t xml:space="preserve">We recognize MHDO’s attempt to address predictability concerns by defining a trigger for reporting requirements to include any specific drug included on the 25-25-25 report along with a drug that meets any one of the three criteria in 8732(1), but continue to disagree that MHDO has the authority to include the 25-25-25 report as a trigger when it is not contemplated by the </w:t>
      </w:r>
    </w:p>
    <w:p w14:paraId="63FC8729" w14:textId="1DD2F2E2" w:rsidR="00505EF7" w:rsidRPr="00505EF7" w:rsidRDefault="0062788D" w:rsidP="00505EF7">
      <w:pPr>
        <w:rPr>
          <w:rFonts w:asciiTheme="minorHAnsi" w:hAnsiTheme="minorHAnsi" w:cs="Arial"/>
          <w:sz w:val="24"/>
          <w:szCs w:val="24"/>
        </w:rPr>
      </w:pPr>
      <w:r w:rsidRPr="0062788D">
        <w:rPr>
          <w:rFonts w:asciiTheme="minorHAnsi" w:hAnsiTheme="minorHAnsi" w:cs="Arial"/>
          <w:sz w:val="24"/>
          <w:szCs w:val="24"/>
        </w:rPr>
        <w:t>statute. The 25-25-25 report is not a trigger authorized by LD1162 nor was it contemplated during</w:t>
      </w:r>
      <w:r w:rsidR="00505EF7">
        <w:rPr>
          <w:rFonts w:asciiTheme="minorHAnsi" w:hAnsiTheme="minorHAnsi" w:cs="Arial"/>
          <w:sz w:val="24"/>
          <w:szCs w:val="24"/>
        </w:rPr>
        <w:t xml:space="preserve"> </w:t>
      </w:r>
      <w:r w:rsidR="00505EF7" w:rsidRPr="00505EF7">
        <w:rPr>
          <w:rFonts w:asciiTheme="minorHAnsi" w:eastAsia="Arial" w:hAnsiTheme="minorHAnsi" w:cs="Arial"/>
          <w:sz w:val="24"/>
          <w:szCs w:val="24"/>
        </w:rPr>
        <w:t xml:space="preserve">the legislative process.  </w:t>
      </w:r>
    </w:p>
    <w:p w14:paraId="69DA0E27" w14:textId="77777777"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p>
    <w:p w14:paraId="6D5DDB56" w14:textId="77777777"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The 25-25-25 report is expansive and includes the most frequently prescribed drugs in the state, the costliest drugs as determined by total spend, and the drugs with the highest year over year cost increase as determined by total spend. By nature, this report includes drugs for reasons outside of a manufacturer’s control such as prescribing patterns and how data are reported by third parties. For example, the claims data relied upon by MHDO reflects the paid amount as contracted between payors and pharmacies, not the net cost of a drug. Rebate information is not available in claims data because the payor does not receive the rebate until after the prescription has been purchased by the patient. </w:t>
      </w:r>
    </w:p>
    <w:p w14:paraId="44B46508" w14:textId="77777777"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p>
    <w:p w14:paraId="5794C83C" w14:textId="77777777"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The Proposed Rule would impose significant reporting requirements on manufacturers, including of confidential and proprietary data, and the specter of significant penalties based on actions and reports they have no control over or data that may not accurately reflect costs with no opportunity to correct or rebut the report.  </w:t>
      </w:r>
    </w:p>
    <w:p w14:paraId="01D287F5" w14:textId="77777777"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p>
    <w:p w14:paraId="580BDE64" w14:textId="707B27A8" w:rsidR="00C1504D"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We reiterate our concerns that MHDO’s expansion of reporting requirements beyond the statute will result in the ground rules – such as who needs to report or what needs to be reported – changing with some frequency. Given the complexity and regulatory nature of developing pricing component data, which is unique nationally, there is concern among reporters that the requirements could change from one reporting cycle to another. Such uncertainty is not only burdensome for reporters, but undermines any longitudinal data analysis if reporting requirements are not consistent from year to year and raises due process concerns in light of the penalties attached to the reporting requirements.</w:t>
      </w:r>
    </w:p>
    <w:p w14:paraId="3FAD3FCF" w14:textId="77777777" w:rsidR="00F62FE2" w:rsidRDefault="00F62FE2" w:rsidP="00505EF7">
      <w:pPr>
        <w:spacing w:before="1"/>
        <w:rPr>
          <w:rFonts w:asciiTheme="minorHAnsi" w:eastAsia="Arial" w:hAnsiTheme="minorHAnsi" w:cs="Arial"/>
          <w:sz w:val="24"/>
          <w:szCs w:val="24"/>
        </w:rPr>
      </w:pPr>
    </w:p>
    <w:p w14:paraId="5B5E3C1D" w14:textId="77777777" w:rsidR="006371B3" w:rsidRPr="008F6BD3" w:rsidRDefault="00C1504D" w:rsidP="006371B3">
      <w:pPr>
        <w:pStyle w:val="CommentText"/>
        <w:rPr>
          <w:rFonts w:asciiTheme="minorHAnsi" w:hAnsiTheme="minorHAnsi" w:cs="Arial"/>
          <w:sz w:val="24"/>
          <w:szCs w:val="24"/>
        </w:rPr>
      </w:pPr>
      <w:r w:rsidRPr="00CF634B">
        <w:rPr>
          <w:rFonts w:asciiTheme="minorHAnsi" w:hAnsiTheme="minorHAnsi" w:cs="Arial"/>
          <w:b/>
          <w:sz w:val="24"/>
          <w:szCs w:val="24"/>
        </w:rPr>
        <w:t xml:space="preserve">MHDO Staff Response:  </w:t>
      </w:r>
      <w:r w:rsidR="006371B3" w:rsidRPr="008F6BD3">
        <w:rPr>
          <w:rFonts w:asciiTheme="minorHAnsi" w:hAnsiTheme="minorHAnsi" w:cs="Arial"/>
          <w:sz w:val="24"/>
          <w:szCs w:val="24"/>
        </w:rPr>
        <w:t xml:space="preserve">MHDO’s governing statute, Title 22, Chapter 1683 does not limit the MHDO </w:t>
      </w:r>
      <w:r w:rsidR="006371B3">
        <w:rPr>
          <w:rFonts w:asciiTheme="minorHAnsi" w:hAnsiTheme="minorHAnsi" w:cs="Arial"/>
          <w:sz w:val="24"/>
          <w:szCs w:val="24"/>
        </w:rPr>
        <w:t>to</w:t>
      </w:r>
      <w:r w:rsidR="006371B3" w:rsidRPr="008F6BD3">
        <w:rPr>
          <w:rFonts w:asciiTheme="minorHAnsi" w:hAnsiTheme="minorHAnsi" w:cs="Arial"/>
          <w:sz w:val="24"/>
          <w:szCs w:val="24"/>
        </w:rPr>
        <w:t xml:space="preserve"> collecting pricing com</w:t>
      </w:r>
      <w:r w:rsidR="006371B3">
        <w:rPr>
          <w:rFonts w:asciiTheme="minorHAnsi" w:hAnsiTheme="minorHAnsi" w:cs="Arial"/>
          <w:sz w:val="24"/>
          <w:szCs w:val="24"/>
        </w:rPr>
        <w:t>ponent data on drugs that</w:t>
      </w:r>
      <w:r w:rsidR="006371B3" w:rsidRPr="008F6BD3">
        <w:rPr>
          <w:rFonts w:asciiTheme="minorHAnsi" w:hAnsiTheme="minorHAnsi" w:cs="Arial"/>
          <w:sz w:val="24"/>
          <w:szCs w:val="24"/>
        </w:rPr>
        <w:t xml:space="preserve"> meet one of the three triggers defined in </w:t>
      </w:r>
      <w:r w:rsidR="006371B3" w:rsidRPr="008F6BD3">
        <w:rPr>
          <w:rFonts w:asciiTheme="minorHAnsi" w:hAnsiTheme="minorHAnsi"/>
          <w:sz w:val="24"/>
          <w:szCs w:val="24"/>
        </w:rPr>
        <w:t>22 MRS §8732(1).  There is no langu</w:t>
      </w:r>
      <w:r w:rsidR="006371B3">
        <w:rPr>
          <w:rFonts w:asciiTheme="minorHAnsi" w:hAnsiTheme="minorHAnsi"/>
          <w:sz w:val="24"/>
          <w:szCs w:val="24"/>
        </w:rPr>
        <w:t xml:space="preserve">age in 8732 suggesting any such limitation.  </w:t>
      </w:r>
      <w:r w:rsidR="006371B3" w:rsidRPr="008F6BD3">
        <w:rPr>
          <w:rFonts w:asciiTheme="minorHAnsi" w:hAnsiTheme="minorHAnsi"/>
          <w:sz w:val="24"/>
          <w:szCs w:val="24"/>
        </w:rPr>
        <w:t xml:space="preserve"> Furthermore, there is language in other sections of PL 2019, Ch. 470[LD 1162] </w:t>
      </w:r>
      <w:r w:rsidR="006371B3" w:rsidRPr="006371B3">
        <w:rPr>
          <w:rFonts w:asciiTheme="minorHAnsi" w:hAnsiTheme="minorHAnsi"/>
          <w:i/>
          <w:sz w:val="24"/>
          <w:szCs w:val="24"/>
        </w:rPr>
        <w:t>An Act</w:t>
      </w:r>
      <w:r w:rsidR="006371B3" w:rsidRPr="006371B3">
        <w:rPr>
          <w:rFonts w:asciiTheme="minorHAnsi" w:hAnsiTheme="minorHAnsi"/>
          <w:i/>
          <w:iCs/>
          <w:sz w:val="24"/>
          <w:szCs w:val="24"/>
        </w:rPr>
        <w:t xml:space="preserve"> to Further Expand Drug Price Transparency</w:t>
      </w:r>
      <w:r w:rsidR="006371B3" w:rsidRPr="006371B3">
        <w:rPr>
          <w:rFonts w:asciiTheme="minorHAnsi" w:hAnsiTheme="minorHAnsi"/>
          <w:i/>
          <w:sz w:val="24"/>
          <w:szCs w:val="24"/>
        </w:rPr>
        <w:t xml:space="preserve"> </w:t>
      </w:r>
      <w:r w:rsidR="006371B3" w:rsidRPr="006371B3">
        <w:rPr>
          <w:rFonts w:asciiTheme="minorHAnsi" w:hAnsiTheme="minorHAnsi"/>
          <w:sz w:val="24"/>
          <w:szCs w:val="24"/>
        </w:rPr>
        <w:t>(“the Act”)</w:t>
      </w:r>
      <w:r w:rsidR="006371B3" w:rsidRPr="008F6BD3">
        <w:rPr>
          <w:rFonts w:asciiTheme="minorHAnsi" w:hAnsiTheme="minorHAnsi"/>
          <w:sz w:val="24"/>
          <w:szCs w:val="24"/>
        </w:rPr>
        <w:t xml:space="preserve"> that indicate otherwise.   The Act states that an objective of the MHDO is to create and maintain a health system database used to issue the report require</w:t>
      </w:r>
      <w:r w:rsidR="006371B3">
        <w:rPr>
          <w:rFonts w:asciiTheme="minorHAnsi" w:hAnsiTheme="minorHAnsi"/>
          <w:sz w:val="24"/>
          <w:szCs w:val="24"/>
        </w:rPr>
        <w:t>d by section 8736; that</w:t>
      </w:r>
      <w:r w:rsidR="006371B3" w:rsidRPr="008F6BD3">
        <w:rPr>
          <w:rFonts w:asciiTheme="minorHAnsi" w:hAnsiTheme="minorHAnsi"/>
          <w:sz w:val="24"/>
          <w:szCs w:val="24"/>
        </w:rPr>
        <w:t xml:space="preserve"> a duty of the MHDO Board of Directors is to develop and implement policies for the collection, processing, storage and analysis of prescription drug price data; and that the MHDO shall produce and post each year a report “including information developed from the notifications and disclosures received pursuant to this subchapter on trends in the cost of prescription drugs, analysis of manufacturer prices and price increases, the major components of prescription drug pricing along the supply chain and the impacts on insurance premiums and cost sharing and any other information the organization determines is relevant to providing greater consumer awareness of the factors contributing to the cost of prescription drugs in the State.” The Act at Sections 1 (8703), 2 (8704) and 8 (8736).  </w:t>
      </w:r>
      <w:r w:rsidR="006371B3" w:rsidRPr="008F6BD3">
        <w:rPr>
          <w:rFonts w:asciiTheme="minorHAnsi" w:hAnsiTheme="minorHAnsi" w:cs="Arial"/>
          <w:sz w:val="24"/>
          <w:szCs w:val="24"/>
        </w:rPr>
        <w:t xml:space="preserve"> </w:t>
      </w:r>
    </w:p>
    <w:p w14:paraId="493504BE" w14:textId="77777777" w:rsidR="006371B3" w:rsidRDefault="006371B3" w:rsidP="006371B3">
      <w:pPr>
        <w:pStyle w:val="CommentText"/>
        <w:rPr>
          <w:rFonts w:asciiTheme="minorHAnsi" w:hAnsiTheme="minorHAnsi" w:cs="Arial"/>
          <w:sz w:val="24"/>
          <w:szCs w:val="24"/>
        </w:rPr>
      </w:pPr>
    </w:p>
    <w:p w14:paraId="1203CF8F" w14:textId="77777777" w:rsidR="006371B3" w:rsidRPr="0028535B" w:rsidRDefault="006371B3" w:rsidP="006371B3">
      <w:pPr>
        <w:pStyle w:val="CommentText"/>
        <w:rPr>
          <w:rFonts w:asciiTheme="minorHAnsi" w:hAnsiTheme="minorHAnsi" w:cs="Arial"/>
          <w:sz w:val="24"/>
          <w:szCs w:val="24"/>
        </w:rPr>
      </w:pPr>
      <w:r w:rsidRPr="00793C18">
        <w:rPr>
          <w:rFonts w:asciiTheme="minorHAnsi" w:hAnsiTheme="minorHAnsi" w:cs="Arial"/>
          <w:sz w:val="24"/>
          <w:szCs w:val="24"/>
        </w:rPr>
        <w:t>It was always the intent (stated in the January 16, 2020 MHDO Comment and Response document) to</w:t>
      </w:r>
      <w:r>
        <w:rPr>
          <w:rFonts w:asciiTheme="minorHAnsi" w:hAnsiTheme="minorHAnsi" w:cs="Arial"/>
          <w:sz w:val="24"/>
          <w:szCs w:val="24"/>
        </w:rPr>
        <w:t xml:space="preserve"> not only</w:t>
      </w:r>
      <w:r w:rsidRPr="00793C18">
        <w:rPr>
          <w:rFonts w:asciiTheme="minorHAnsi" w:hAnsiTheme="minorHAnsi" w:cs="Arial"/>
          <w:sz w:val="24"/>
          <w:szCs w:val="24"/>
        </w:rPr>
        <w:t xml:space="preserve"> focus</w:t>
      </w:r>
      <w:r>
        <w:rPr>
          <w:rFonts w:asciiTheme="minorHAnsi" w:hAnsiTheme="minorHAnsi" w:cs="Arial"/>
          <w:sz w:val="24"/>
          <w:szCs w:val="24"/>
        </w:rPr>
        <w:t xml:space="preserve"> on</w:t>
      </w:r>
      <w:r w:rsidRPr="00793C18">
        <w:rPr>
          <w:rFonts w:asciiTheme="minorHAnsi" w:hAnsiTheme="minorHAnsi" w:cs="Arial"/>
          <w:sz w:val="24"/>
          <w:szCs w:val="24"/>
        </w:rPr>
        <w:t xml:space="preserve"> the reporting of pricing component</w:t>
      </w:r>
      <w:r>
        <w:rPr>
          <w:rFonts w:asciiTheme="minorHAnsi" w:hAnsiTheme="minorHAnsi" w:cs="Arial"/>
          <w:sz w:val="24"/>
          <w:szCs w:val="24"/>
        </w:rPr>
        <w:t xml:space="preserve"> data for drugs that meet one of the triggers defined in statute (new drug or price increases) but to additionally seek information related to drugs identified as the </w:t>
      </w:r>
      <w:r w:rsidRPr="00F47794">
        <w:rPr>
          <w:rFonts w:asciiTheme="minorHAnsi" w:hAnsiTheme="minorHAnsi"/>
          <w:sz w:val="24"/>
          <w:szCs w:val="24"/>
        </w:rPr>
        <w:t>most costly, most utilized</w:t>
      </w:r>
      <w:r>
        <w:rPr>
          <w:rFonts w:asciiTheme="minorHAnsi" w:hAnsiTheme="minorHAnsi"/>
          <w:sz w:val="24"/>
          <w:szCs w:val="24"/>
        </w:rPr>
        <w:t>, or having</w:t>
      </w:r>
      <w:r w:rsidRPr="00F47794">
        <w:rPr>
          <w:rFonts w:asciiTheme="minorHAnsi" w:hAnsiTheme="minorHAnsi"/>
          <w:sz w:val="24"/>
          <w:szCs w:val="24"/>
        </w:rPr>
        <w:t xml:space="preserve"> the highest year over year increases in the MHDO’s annual pharmacy report as required in</w:t>
      </w:r>
      <w:r>
        <w:rPr>
          <w:rFonts w:asciiTheme="minorHAnsi" w:hAnsiTheme="minorHAnsi"/>
          <w:sz w:val="24"/>
          <w:szCs w:val="24"/>
        </w:rPr>
        <w:t xml:space="preserve"> 22 MRS</w:t>
      </w:r>
      <w:r w:rsidRPr="00F47794">
        <w:rPr>
          <w:rFonts w:asciiTheme="minorHAnsi" w:hAnsiTheme="minorHAnsi"/>
          <w:sz w:val="24"/>
          <w:szCs w:val="24"/>
        </w:rPr>
        <w:t xml:space="preserve"> </w:t>
      </w:r>
      <w:r w:rsidRPr="008D7AD2">
        <w:rPr>
          <w:rFonts w:asciiTheme="minorHAnsi" w:hAnsiTheme="minorHAnsi"/>
          <w:sz w:val="24"/>
          <w:szCs w:val="24"/>
        </w:rPr>
        <w:t>§8712</w:t>
      </w:r>
      <w:r>
        <w:rPr>
          <w:rFonts w:asciiTheme="minorHAnsi" w:hAnsiTheme="minorHAnsi"/>
          <w:sz w:val="24"/>
          <w:szCs w:val="24"/>
        </w:rPr>
        <w:t>(</w:t>
      </w:r>
      <w:r w:rsidRPr="00CF634B">
        <w:rPr>
          <w:rFonts w:asciiTheme="minorHAnsi" w:hAnsiTheme="minorHAnsi"/>
          <w:sz w:val="24"/>
          <w:szCs w:val="24"/>
        </w:rPr>
        <w:t>5</w:t>
      </w:r>
      <w:r>
        <w:rPr>
          <w:rFonts w:asciiTheme="minorHAnsi" w:hAnsiTheme="minorHAnsi"/>
          <w:sz w:val="24"/>
          <w:szCs w:val="24"/>
        </w:rPr>
        <w:t>)</w:t>
      </w:r>
      <w:r w:rsidRPr="00CF634B">
        <w:rPr>
          <w:rFonts w:asciiTheme="minorHAnsi" w:hAnsiTheme="minorHAnsi"/>
          <w:sz w:val="24"/>
          <w:szCs w:val="24"/>
        </w:rPr>
        <w:t>.</w:t>
      </w:r>
      <w:r>
        <w:rPr>
          <w:rFonts w:asciiTheme="minorHAnsi" w:hAnsiTheme="minorHAnsi"/>
          <w:sz w:val="24"/>
          <w:szCs w:val="24"/>
        </w:rPr>
        <w:t xml:space="preserve">   Further, it has become clear that where drugs of interest are available from multiple sources, </w:t>
      </w:r>
      <w:r>
        <w:rPr>
          <w:rFonts w:asciiTheme="minorHAnsi" w:hAnsiTheme="minorHAnsi" w:cs="Arial"/>
          <w:bCs/>
          <w:sz w:val="24"/>
          <w:szCs w:val="24"/>
        </w:rPr>
        <w:t xml:space="preserve">understanding the impact of competitive pricing for drug products that fall within the same drug product family </w:t>
      </w:r>
      <w:r>
        <w:rPr>
          <w:rFonts w:asciiTheme="minorHAnsi" w:hAnsiTheme="minorHAnsi"/>
          <w:sz w:val="24"/>
          <w:szCs w:val="24"/>
        </w:rPr>
        <w:t xml:space="preserve">is relevant information to providing greater consumer awareness on the factors contributing to the costs of prescription drugs in the state.  </w:t>
      </w:r>
    </w:p>
    <w:p w14:paraId="373E4EF5" w14:textId="77777777" w:rsidR="006371B3" w:rsidRDefault="006371B3" w:rsidP="006371B3">
      <w:pPr>
        <w:pStyle w:val="CommentText"/>
        <w:rPr>
          <w:rFonts w:asciiTheme="minorHAnsi" w:hAnsiTheme="minorHAnsi"/>
          <w:sz w:val="24"/>
          <w:szCs w:val="24"/>
        </w:rPr>
      </w:pPr>
    </w:p>
    <w:p w14:paraId="6C67D4B5" w14:textId="77777777" w:rsidR="006371B3" w:rsidRDefault="006371B3" w:rsidP="006371B3">
      <w:pPr>
        <w:pStyle w:val="CommentText"/>
        <w:rPr>
          <w:rFonts w:ascii="Calibri" w:hAnsi="Calibri"/>
          <w:sz w:val="24"/>
          <w:szCs w:val="24"/>
        </w:rPr>
      </w:pPr>
      <w:r w:rsidRPr="00E1371F">
        <w:rPr>
          <w:rFonts w:asciiTheme="minorHAnsi" w:hAnsiTheme="minorHAnsi"/>
          <w:sz w:val="24"/>
          <w:szCs w:val="24"/>
        </w:rPr>
        <w:t>MHDO is not adding any new reporting triggers (which are specific only to Section 2(B)</w:t>
      </w:r>
      <w:r>
        <w:rPr>
          <w:rFonts w:asciiTheme="minorHAnsi" w:hAnsiTheme="minorHAnsi"/>
          <w:sz w:val="24"/>
          <w:szCs w:val="24"/>
        </w:rPr>
        <w:t>)</w:t>
      </w:r>
      <w:r w:rsidRPr="00E1371F">
        <w:rPr>
          <w:rFonts w:asciiTheme="minorHAnsi" w:hAnsiTheme="minorHAnsi"/>
          <w:sz w:val="24"/>
          <w:szCs w:val="24"/>
        </w:rPr>
        <w:t>, but</w:t>
      </w:r>
      <w:r>
        <w:rPr>
          <w:rFonts w:asciiTheme="minorHAnsi" w:hAnsiTheme="minorHAnsi"/>
          <w:sz w:val="24"/>
          <w:szCs w:val="24"/>
        </w:rPr>
        <w:t xml:space="preserve"> is instead providing clarity and </w:t>
      </w:r>
      <w:r w:rsidRPr="00E1371F">
        <w:rPr>
          <w:rFonts w:asciiTheme="minorHAnsi" w:hAnsiTheme="minorHAnsi"/>
          <w:sz w:val="24"/>
          <w:szCs w:val="24"/>
        </w:rPr>
        <w:t>predictability regarding the</w:t>
      </w:r>
      <w:r>
        <w:rPr>
          <w:rFonts w:asciiTheme="minorHAnsi" w:hAnsiTheme="minorHAnsi"/>
          <w:sz w:val="24"/>
          <w:szCs w:val="24"/>
        </w:rPr>
        <w:t xml:space="preserve"> pool of</w:t>
      </w:r>
      <w:r w:rsidRPr="00E1371F">
        <w:rPr>
          <w:rFonts w:asciiTheme="minorHAnsi" w:hAnsiTheme="minorHAnsi"/>
          <w:sz w:val="24"/>
          <w:szCs w:val="24"/>
        </w:rPr>
        <w:t xml:space="preserve"> NDCs for which MHDO intends to request pricing component data.</w:t>
      </w:r>
      <w:r>
        <w:rPr>
          <w:rFonts w:asciiTheme="minorHAnsi" w:hAnsiTheme="minorHAnsi"/>
          <w:sz w:val="24"/>
          <w:szCs w:val="24"/>
        </w:rPr>
        <w:t xml:space="preserve"> </w:t>
      </w:r>
    </w:p>
    <w:p w14:paraId="66581D6F" w14:textId="77777777" w:rsidR="006371B3" w:rsidRDefault="006371B3" w:rsidP="006371B3">
      <w:pPr>
        <w:rPr>
          <w:rFonts w:ascii="Calibri" w:hAnsi="Calibri"/>
          <w:sz w:val="24"/>
          <w:szCs w:val="24"/>
        </w:rPr>
      </w:pPr>
    </w:p>
    <w:p w14:paraId="5D6E2AED" w14:textId="77777777" w:rsidR="006371B3" w:rsidRDefault="006371B3" w:rsidP="006371B3">
      <w:pPr>
        <w:rPr>
          <w:rFonts w:ascii="Calibri" w:hAnsi="Calibri"/>
          <w:sz w:val="24"/>
          <w:szCs w:val="24"/>
        </w:rPr>
      </w:pPr>
      <w:r>
        <w:rPr>
          <w:rFonts w:ascii="Calibri" w:hAnsi="Calibri"/>
          <w:sz w:val="24"/>
          <w:szCs w:val="24"/>
        </w:rPr>
        <w:t xml:space="preserve">MHDO is not interested in unnecessary data collection.  </w:t>
      </w:r>
      <w:r>
        <w:rPr>
          <w:rFonts w:asciiTheme="minorHAnsi" w:hAnsiTheme="minorHAnsi"/>
          <w:sz w:val="24"/>
          <w:szCs w:val="24"/>
        </w:rPr>
        <w:t xml:space="preserve">As discussed with the MHDO board and during the work session on 1162, MHDO intends to focus the reporting of pricing component data on relevant drug pricing information and may not require manufacturers to produce pricing component data for every drug that meets one of the triggers that requires a notification to MHDO.  </w:t>
      </w:r>
      <w:r w:rsidRPr="005E4E0D">
        <w:rPr>
          <w:rFonts w:ascii="Calibri" w:hAnsi="Calibri"/>
          <w:sz w:val="24"/>
          <w:szCs w:val="24"/>
        </w:rPr>
        <w:t xml:space="preserve">  </w:t>
      </w:r>
      <w:r>
        <w:rPr>
          <w:rFonts w:asciiTheme="minorHAnsi" w:hAnsiTheme="minorHAnsi"/>
          <w:sz w:val="24"/>
          <w:szCs w:val="24"/>
        </w:rPr>
        <w:t xml:space="preserve">To provide predictability, the proposed changes in Section 2. C. 1. (a-c), state the methodology MHDO will apply to identify NDCs of interest for pricing component data.  In addition, Section 2. C. 2.  requires MHDO to publicly post the drugs that MHDO will request pricing component data for in mid-February.   Section 2. C. 3. states MHDO cannot ask for pricing component data for 30 days after the posting.  Reporting entities then have 60 days from the date we officially notify them of the NDCs for which we are requesting pricing component data.  These changes will give </w:t>
      </w:r>
      <w:r w:rsidRPr="00793C18">
        <w:rPr>
          <w:rFonts w:asciiTheme="minorHAnsi" w:hAnsiTheme="minorHAnsi"/>
          <w:sz w:val="24"/>
          <w:szCs w:val="24"/>
        </w:rPr>
        <w:t>reporting entities 90 days</w:t>
      </w:r>
      <w:r>
        <w:rPr>
          <w:rFonts w:asciiTheme="minorHAnsi" w:hAnsiTheme="minorHAnsi"/>
          <w:sz w:val="24"/>
          <w:szCs w:val="24"/>
        </w:rPr>
        <w:t xml:space="preserve"> effective notice</w:t>
      </w:r>
      <w:r w:rsidRPr="00793C18">
        <w:rPr>
          <w:rFonts w:asciiTheme="minorHAnsi" w:hAnsiTheme="minorHAnsi"/>
          <w:sz w:val="24"/>
          <w:szCs w:val="24"/>
        </w:rPr>
        <w:t xml:space="preserve"> to provide the required prescription drug pricing component data</w:t>
      </w:r>
      <w:r w:rsidRPr="006371B3">
        <w:rPr>
          <w:sz w:val="24"/>
          <w:szCs w:val="24"/>
        </w:rPr>
        <w:t>.</w:t>
      </w:r>
    </w:p>
    <w:p w14:paraId="6671ACBF" w14:textId="77777777" w:rsidR="006371B3" w:rsidRDefault="006371B3" w:rsidP="006371B3">
      <w:pPr>
        <w:rPr>
          <w:sz w:val="24"/>
          <w:szCs w:val="24"/>
        </w:rPr>
      </w:pPr>
    </w:p>
    <w:p w14:paraId="173AD1C8" w14:textId="11247183" w:rsidR="00C1504D" w:rsidRDefault="00C1504D" w:rsidP="00C1504D">
      <w:pPr>
        <w:jc w:val="both"/>
        <w:rPr>
          <w:rFonts w:asciiTheme="minorHAnsi" w:hAnsiTheme="minorHAnsi" w:cs="Arial"/>
          <w:b/>
          <w:sz w:val="24"/>
          <w:szCs w:val="24"/>
        </w:rPr>
      </w:pPr>
      <w:r w:rsidRPr="00CF634B">
        <w:rPr>
          <w:rFonts w:asciiTheme="minorHAnsi" w:hAnsiTheme="minorHAnsi" w:cs="Arial"/>
          <w:b/>
          <w:sz w:val="24"/>
          <w:szCs w:val="24"/>
        </w:rPr>
        <w:t xml:space="preserve">Recommended Board Action:  </w:t>
      </w:r>
      <w:r w:rsidR="00A91C53">
        <w:rPr>
          <w:rFonts w:asciiTheme="minorHAnsi" w:hAnsiTheme="minorHAnsi" w:cs="Arial"/>
          <w:bCs/>
          <w:sz w:val="24"/>
          <w:szCs w:val="24"/>
        </w:rPr>
        <w:t>Approve proposed changes</w:t>
      </w:r>
      <w:r w:rsidR="00C35DDD">
        <w:rPr>
          <w:rFonts w:asciiTheme="minorHAnsi" w:hAnsiTheme="minorHAnsi" w:cs="Arial"/>
          <w:bCs/>
          <w:sz w:val="24"/>
          <w:szCs w:val="24"/>
        </w:rPr>
        <w:t>.</w:t>
      </w:r>
    </w:p>
    <w:p w14:paraId="04B67389" w14:textId="0C8EA991"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p>
    <w:p w14:paraId="667B04B8" w14:textId="77777777"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p>
    <w:p w14:paraId="3F989604" w14:textId="323726E9" w:rsidR="00505EF7" w:rsidRPr="00EA7056" w:rsidRDefault="00505EF7" w:rsidP="00505EF7">
      <w:pPr>
        <w:spacing w:before="1"/>
        <w:rPr>
          <w:rFonts w:asciiTheme="minorHAnsi" w:eastAsia="Arial" w:hAnsiTheme="minorHAnsi" w:cs="Arial"/>
          <w:b/>
          <w:sz w:val="24"/>
          <w:szCs w:val="24"/>
        </w:rPr>
      </w:pPr>
      <w:r w:rsidRPr="00505EF7">
        <w:rPr>
          <w:rFonts w:asciiTheme="minorHAnsi" w:eastAsia="Arial" w:hAnsiTheme="minorHAnsi" w:cs="Arial"/>
          <w:b/>
          <w:sz w:val="24"/>
          <w:szCs w:val="24"/>
        </w:rPr>
        <w:t xml:space="preserve">Comment </w:t>
      </w:r>
      <w:r w:rsidR="00C35DDD">
        <w:rPr>
          <w:rFonts w:asciiTheme="minorHAnsi" w:eastAsia="Arial" w:hAnsiTheme="minorHAnsi" w:cs="Arial"/>
          <w:b/>
          <w:sz w:val="24"/>
          <w:szCs w:val="24"/>
        </w:rPr>
        <w:t>5</w:t>
      </w:r>
      <w:r w:rsidRPr="00505EF7">
        <w:rPr>
          <w:rFonts w:asciiTheme="minorHAnsi" w:eastAsia="Arial" w:hAnsiTheme="minorHAnsi" w:cs="Arial"/>
          <w:b/>
          <w:sz w:val="24"/>
          <w:szCs w:val="24"/>
        </w:rPr>
        <w:t xml:space="preserve">: </w:t>
      </w:r>
      <w:r w:rsidR="00EA7056">
        <w:rPr>
          <w:rFonts w:asciiTheme="minorHAnsi" w:eastAsia="Arial" w:hAnsiTheme="minorHAnsi" w:cs="Arial"/>
          <w:b/>
          <w:sz w:val="24"/>
          <w:szCs w:val="24"/>
        </w:rPr>
        <w:t>(</w:t>
      </w:r>
      <w:r w:rsidRPr="00505EF7">
        <w:rPr>
          <w:rFonts w:asciiTheme="minorHAnsi" w:eastAsia="Arial" w:hAnsiTheme="minorHAnsi" w:cs="Arial"/>
          <w:b/>
          <w:sz w:val="24"/>
          <w:szCs w:val="24"/>
        </w:rPr>
        <w:t>Reporting Specifications, Section 2(J)(1)</w:t>
      </w:r>
      <w:r w:rsidR="00EA7056">
        <w:rPr>
          <w:rFonts w:asciiTheme="minorHAnsi" w:eastAsia="Arial" w:hAnsiTheme="minorHAnsi" w:cs="Arial"/>
          <w:b/>
          <w:sz w:val="24"/>
          <w:szCs w:val="24"/>
        </w:rPr>
        <w:t>)</w:t>
      </w:r>
    </w:p>
    <w:p w14:paraId="5BBFF0C4" w14:textId="77777777"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We recognize MHDO’s attempt to streamline the reporting forms, however, we are concerned this merger would result in confusion for a reporting entity and result in incomplete or unhelpful data. For example, the previous “New Drug” reporting form focused on information applicable to a new product – introduction date, estimated patient population, acquisition cost, etc. Now, that reporting is blended with more general reporting for existing products, and many items no longer make sense or will lead to inconsistent data (e.g., reporting elements focusing on “prior year” will capture a full year for some products and inconsistent partial year data for new products depending on launch date.). We recommend reverting to separate forms for new launches and increases/other products.  </w:t>
      </w:r>
    </w:p>
    <w:p w14:paraId="2D3BB7D7" w14:textId="77777777" w:rsidR="00D623FB" w:rsidRDefault="00D623FB" w:rsidP="00505EF7">
      <w:pPr>
        <w:spacing w:before="1"/>
        <w:rPr>
          <w:rFonts w:asciiTheme="minorHAnsi" w:eastAsia="Arial" w:hAnsiTheme="minorHAnsi" w:cs="Arial"/>
          <w:sz w:val="24"/>
          <w:szCs w:val="24"/>
        </w:rPr>
      </w:pPr>
    </w:p>
    <w:p w14:paraId="1094F206" w14:textId="3D8235DC" w:rsidR="00D623FB" w:rsidRDefault="00D623FB" w:rsidP="00C35DDD">
      <w:pPr>
        <w:autoSpaceDE w:val="0"/>
        <w:autoSpaceDN w:val="0"/>
        <w:adjustRightInd w:val="0"/>
        <w:rPr>
          <w:rFonts w:asciiTheme="minorHAnsi" w:hAnsiTheme="minorHAnsi" w:cs="Arial"/>
          <w:bCs/>
          <w:sz w:val="24"/>
          <w:szCs w:val="24"/>
        </w:rPr>
      </w:pPr>
      <w:r w:rsidRPr="00CF634B">
        <w:rPr>
          <w:rFonts w:asciiTheme="minorHAnsi" w:hAnsiTheme="minorHAnsi" w:cs="Arial"/>
          <w:b/>
          <w:sz w:val="24"/>
          <w:szCs w:val="24"/>
        </w:rPr>
        <w:t xml:space="preserve">MHDO Staff Response:  </w:t>
      </w:r>
      <w:r>
        <w:rPr>
          <w:rFonts w:asciiTheme="minorHAnsi" w:hAnsiTheme="minorHAnsi" w:cs="Arial"/>
          <w:bCs/>
          <w:sz w:val="24"/>
          <w:szCs w:val="24"/>
        </w:rPr>
        <w:t xml:space="preserve">The consolidation of data elements into a single manufacturer report </w:t>
      </w:r>
      <w:r w:rsidR="00C35DDD">
        <w:rPr>
          <w:rFonts w:asciiTheme="minorHAnsi" w:hAnsiTheme="minorHAnsi" w:cs="Arial"/>
          <w:bCs/>
          <w:sz w:val="24"/>
          <w:szCs w:val="24"/>
        </w:rPr>
        <w:t xml:space="preserve">will </w:t>
      </w:r>
      <w:r>
        <w:rPr>
          <w:rFonts w:asciiTheme="minorHAnsi" w:hAnsiTheme="minorHAnsi" w:cs="Arial"/>
          <w:bCs/>
          <w:sz w:val="24"/>
          <w:szCs w:val="24"/>
        </w:rPr>
        <w:t xml:space="preserve">streamline the reporting process and provide </w:t>
      </w:r>
      <w:r w:rsidR="006A4733">
        <w:rPr>
          <w:rFonts w:asciiTheme="minorHAnsi" w:hAnsiTheme="minorHAnsi" w:cs="Arial"/>
          <w:bCs/>
          <w:sz w:val="24"/>
          <w:szCs w:val="24"/>
        </w:rPr>
        <w:t>consisten</w:t>
      </w:r>
      <w:r w:rsidR="002E1258">
        <w:rPr>
          <w:rFonts w:asciiTheme="minorHAnsi" w:hAnsiTheme="minorHAnsi" w:cs="Arial"/>
          <w:bCs/>
          <w:sz w:val="24"/>
          <w:szCs w:val="24"/>
        </w:rPr>
        <w:t xml:space="preserve">cy in the </w:t>
      </w:r>
      <w:r>
        <w:rPr>
          <w:rFonts w:asciiTheme="minorHAnsi" w:hAnsiTheme="minorHAnsi" w:cs="Arial"/>
          <w:bCs/>
          <w:sz w:val="24"/>
          <w:szCs w:val="24"/>
        </w:rPr>
        <w:t xml:space="preserve">pricing </w:t>
      </w:r>
      <w:r w:rsidR="00C35DDD">
        <w:rPr>
          <w:rFonts w:asciiTheme="minorHAnsi" w:hAnsiTheme="minorHAnsi" w:cs="Arial"/>
          <w:bCs/>
          <w:sz w:val="24"/>
          <w:szCs w:val="24"/>
        </w:rPr>
        <w:t>component</w:t>
      </w:r>
      <w:r w:rsidR="006A4733">
        <w:rPr>
          <w:rFonts w:asciiTheme="minorHAnsi" w:hAnsiTheme="minorHAnsi" w:cs="Arial"/>
          <w:bCs/>
          <w:sz w:val="24"/>
          <w:szCs w:val="24"/>
        </w:rPr>
        <w:t xml:space="preserve"> data </w:t>
      </w:r>
      <w:r w:rsidR="002E1258">
        <w:rPr>
          <w:rFonts w:asciiTheme="minorHAnsi" w:hAnsiTheme="minorHAnsi" w:cs="Arial"/>
          <w:bCs/>
          <w:sz w:val="24"/>
          <w:szCs w:val="24"/>
        </w:rPr>
        <w:t>elements collected</w:t>
      </w:r>
      <w:r w:rsidR="00C35DDD">
        <w:rPr>
          <w:rFonts w:asciiTheme="minorHAnsi" w:hAnsiTheme="minorHAnsi" w:cs="Arial"/>
          <w:bCs/>
          <w:sz w:val="24"/>
          <w:szCs w:val="24"/>
        </w:rPr>
        <w:t xml:space="preserve"> </w:t>
      </w:r>
      <w:r>
        <w:rPr>
          <w:rFonts w:asciiTheme="minorHAnsi" w:hAnsiTheme="minorHAnsi" w:cs="Arial"/>
          <w:bCs/>
          <w:sz w:val="24"/>
          <w:szCs w:val="24"/>
        </w:rPr>
        <w:t xml:space="preserve">for </w:t>
      </w:r>
      <w:r w:rsidR="006A4733">
        <w:rPr>
          <w:rFonts w:asciiTheme="minorHAnsi" w:hAnsiTheme="minorHAnsi" w:cs="Arial"/>
          <w:bCs/>
          <w:sz w:val="24"/>
          <w:szCs w:val="24"/>
        </w:rPr>
        <w:t xml:space="preserve">all </w:t>
      </w:r>
      <w:r>
        <w:rPr>
          <w:rFonts w:asciiTheme="minorHAnsi" w:hAnsiTheme="minorHAnsi" w:cs="Arial"/>
          <w:bCs/>
          <w:sz w:val="24"/>
          <w:szCs w:val="24"/>
        </w:rPr>
        <w:t>drugs</w:t>
      </w:r>
      <w:r w:rsidR="006A4733">
        <w:rPr>
          <w:rFonts w:asciiTheme="minorHAnsi" w:hAnsiTheme="minorHAnsi" w:cs="Arial"/>
          <w:bCs/>
          <w:sz w:val="24"/>
          <w:szCs w:val="24"/>
        </w:rPr>
        <w:t>.</w:t>
      </w:r>
      <w:r>
        <w:rPr>
          <w:rFonts w:asciiTheme="minorHAnsi" w:hAnsiTheme="minorHAnsi" w:cs="Arial"/>
          <w:bCs/>
          <w:sz w:val="24"/>
          <w:szCs w:val="24"/>
        </w:rPr>
        <w:t xml:space="preserve"> </w:t>
      </w:r>
      <w:r w:rsidR="002E1258">
        <w:rPr>
          <w:rFonts w:asciiTheme="minorHAnsi" w:hAnsiTheme="minorHAnsi" w:cs="Arial"/>
          <w:bCs/>
          <w:sz w:val="24"/>
          <w:szCs w:val="24"/>
        </w:rPr>
        <w:t xml:space="preserve"> </w:t>
      </w:r>
      <w:r w:rsidR="006A13CE">
        <w:rPr>
          <w:rFonts w:asciiTheme="minorHAnsi" w:hAnsiTheme="minorHAnsi" w:cs="Arial"/>
          <w:bCs/>
          <w:sz w:val="24"/>
          <w:szCs w:val="24"/>
        </w:rPr>
        <w:t xml:space="preserve">In an effort to minimize confusion, </w:t>
      </w:r>
      <w:r w:rsidR="00C35DDD">
        <w:rPr>
          <w:rFonts w:asciiTheme="minorHAnsi" w:hAnsiTheme="minorHAnsi" w:cs="Arial"/>
          <w:bCs/>
          <w:sz w:val="24"/>
          <w:szCs w:val="24"/>
        </w:rPr>
        <w:t xml:space="preserve">MHDO will take the date of market introduction into consideration </w:t>
      </w:r>
      <w:r w:rsidR="002E1258">
        <w:rPr>
          <w:rFonts w:asciiTheme="minorHAnsi" w:hAnsiTheme="minorHAnsi" w:cs="Arial"/>
          <w:bCs/>
          <w:sz w:val="24"/>
          <w:szCs w:val="24"/>
        </w:rPr>
        <w:t xml:space="preserve">for first year drug products </w:t>
      </w:r>
      <w:r w:rsidR="00C35DDD">
        <w:rPr>
          <w:rFonts w:asciiTheme="minorHAnsi" w:hAnsiTheme="minorHAnsi" w:cs="Arial"/>
          <w:bCs/>
          <w:sz w:val="24"/>
          <w:szCs w:val="24"/>
        </w:rPr>
        <w:t>when analyzing pricing component data</w:t>
      </w:r>
      <w:r w:rsidR="002E1258">
        <w:rPr>
          <w:rFonts w:asciiTheme="minorHAnsi" w:hAnsiTheme="minorHAnsi" w:cs="Arial"/>
          <w:bCs/>
          <w:sz w:val="24"/>
          <w:szCs w:val="24"/>
        </w:rPr>
        <w:t xml:space="preserve"> for the following data elements:</w:t>
      </w:r>
    </w:p>
    <w:p w14:paraId="03ACB67F" w14:textId="77777777" w:rsidR="00D87477" w:rsidRDefault="00D87477" w:rsidP="002E1258">
      <w:pPr>
        <w:pStyle w:val="ListParagraph"/>
        <w:numPr>
          <w:ilvl w:val="0"/>
          <w:numId w:val="9"/>
        </w:numPr>
        <w:autoSpaceDE w:val="0"/>
        <w:autoSpaceDN w:val="0"/>
        <w:adjustRightInd w:val="0"/>
        <w:rPr>
          <w:rFonts w:asciiTheme="minorHAnsi" w:hAnsiTheme="minorHAnsi" w:cs="TimesNewRomanPSMT"/>
          <w:bCs/>
          <w:sz w:val="24"/>
          <w:szCs w:val="24"/>
        </w:rPr>
      </w:pPr>
      <w:r>
        <w:rPr>
          <w:rFonts w:asciiTheme="minorHAnsi" w:hAnsiTheme="minorHAnsi" w:cs="TimesNewRomanPSMT"/>
          <w:bCs/>
          <w:sz w:val="24"/>
          <w:szCs w:val="24"/>
        </w:rPr>
        <w:t>Baseline WAC Amount</w:t>
      </w:r>
    </w:p>
    <w:p w14:paraId="094E1FC4" w14:textId="090E4654" w:rsidR="002E1258" w:rsidRDefault="002E1258" w:rsidP="002E1258">
      <w:pPr>
        <w:pStyle w:val="ListParagraph"/>
        <w:numPr>
          <w:ilvl w:val="0"/>
          <w:numId w:val="9"/>
        </w:numPr>
        <w:autoSpaceDE w:val="0"/>
        <w:autoSpaceDN w:val="0"/>
        <w:adjustRightInd w:val="0"/>
        <w:rPr>
          <w:rFonts w:asciiTheme="minorHAnsi" w:hAnsiTheme="minorHAnsi" w:cs="TimesNewRomanPSMT"/>
          <w:bCs/>
          <w:sz w:val="24"/>
          <w:szCs w:val="24"/>
        </w:rPr>
      </w:pPr>
      <w:r>
        <w:rPr>
          <w:rFonts w:asciiTheme="minorHAnsi" w:hAnsiTheme="minorHAnsi" w:cs="TimesNewRomanPSMT"/>
          <w:bCs/>
          <w:sz w:val="24"/>
          <w:szCs w:val="24"/>
        </w:rPr>
        <w:t>Total WAC Change Amount</w:t>
      </w:r>
    </w:p>
    <w:p w14:paraId="389A5D90" w14:textId="77777777" w:rsidR="002E1258" w:rsidRDefault="002E1258" w:rsidP="002E1258">
      <w:pPr>
        <w:pStyle w:val="ListParagraph"/>
        <w:numPr>
          <w:ilvl w:val="0"/>
          <w:numId w:val="9"/>
        </w:numPr>
        <w:autoSpaceDE w:val="0"/>
        <w:autoSpaceDN w:val="0"/>
        <w:adjustRightInd w:val="0"/>
        <w:rPr>
          <w:rFonts w:asciiTheme="minorHAnsi" w:hAnsiTheme="minorHAnsi" w:cs="TimesNewRomanPSMT"/>
          <w:bCs/>
          <w:sz w:val="24"/>
          <w:szCs w:val="24"/>
        </w:rPr>
      </w:pPr>
      <w:r>
        <w:rPr>
          <w:rFonts w:asciiTheme="minorHAnsi" w:hAnsiTheme="minorHAnsi" w:cs="TimesNewRomanPSMT"/>
          <w:bCs/>
          <w:sz w:val="24"/>
          <w:szCs w:val="24"/>
        </w:rPr>
        <w:t>WAC After Change</w:t>
      </w:r>
    </w:p>
    <w:p w14:paraId="63436FD4" w14:textId="4CF6F178" w:rsidR="002E1258" w:rsidRDefault="002E1258" w:rsidP="002E1258">
      <w:pPr>
        <w:pStyle w:val="ListParagraph"/>
        <w:numPr>
          <w:ilvl w:val="0"/>
          <w:numId w:val="9"/>
        </w:numPr>
        <w:autoSpaceDE w:val="0"/>
        <w:autoSpaceDN w:val="0"/>
        <w:adjustRightInd w:val="0"/>
        <w:rPr>
          <w:rFonts w:asciiTheme="minorHAnsi" w:hAnsiTheme="minorHAnsi" w:cs="TimesNewRomanPSMT"/>
          <w:bCs/>
          <w:sz w:val="24"/>
          <w:szCs w:val="24"/>
        </w:rPr>
      </w:pPr>
      <w:r>
        <w:rPr>
          <w:rFonts w:asciiTheme="minorHAnsi" w:hAnsiTheme="minorHAnsi" w:cs="TimesNewRomanPSMT"/>
          <w:bCs/>
          <w:sz w:val="24"/>
          <w:szCs w:val="24"/>
        </w:rPr>
        <w:t>Unit Sales Volume in US</w:t>
      </w:r>
    </w:p>
    <w:p w14:paraId="082A7C7E" w14:textId="19687216" w:rsidR="002E1258" w:rsidRDefault="002E1258" w:rsidP="002E1258">
      <w:pPr>
        <w:pStyle w:val="ListParagraph"/>
        <w:numPr>
          <w:ilvl w:val="0"/>
          <w:numId w:val="9"/>
        </w:numPr>
        <w:autoSpaceDE w:val="0"/>
        <w:autoSpaceDN w:val="0"/>
        <w:adjustRightInd w:val="0"/>
        <w:rPr>
          <w:rFonts w:asciiTheme="minorHAnsi" w:hAnsiTheme="minorHAnsi" w:cs="TimesNewRomanPSMT"/>
          <w:bCs/>
          <w:sz w:val="24"/>
          <w:szCs w:val="24"/>
        </w:rPr>
      </w:pPr>
      <w:r>
        <w:rPr>
          <w:rFonts w:asciiTheme="minorHAnsi" w:hAnsiTheme="minorHAnsi" w:cs="TimesNewRomanPSMT"/>
          <w:bCs/>
          <w:sz w:val="24"/>
          <w:szCs w:val="24"/>
        </w:rPr>
        <w:t>Revenue in US</w:t>
      </w:r>
    </w:p>
    <w:p w14:paraId="56ED6F29" w14:textId="340A9B99" w:rsidR="002E1258" w:rsidRDefault="002E1258" w:rsidP="002E1258">
      <w:pPr>
        <w:pStyle w:val="ListParagraph"/>
        <w:numPr>
          <w:ilvl w:val="0"/>
          <w:numId w:val="9"/>
        </w:numPr>
        <w:autoSpaceDE w:val="0"/>
        <w:autoSpaceDN w:val="0"/>
        <w:adjustRightInd w:val="0"/>
        <w:rPr>
          <w:rFonts w:asciiTheme="minorHAnsi" w:hAnsiTheme="minorHAnsi" w:cs="TimesNewRomanPSMT"/>
          <w:bCs/>
          <w:sz w:val="24"/>
          <w:szCs w:val="24"/>
        </w:rPr>
      </w:pPr>
      <w:r>
        <w:rPr>
          <w:rFonts w:asciiTheme="minorHAnsi" w:hAnsiTheme="minorHAnsi" w:cs="TimesNewRomanPSMT"/>
          <w:bCs/>
          <w:sz w:val="24"/>
          <w:szCs w:val="24"/>
        </w:rPr>
        <w:t>Total Rebate Payable Amount in US</w:t>
      </w:r>
    </w:p>
    <w:p w14:paraId="1697A97B" w14:textId="601E44BC" w:rsidR="002E1258" w:rsidRPr="00803CD8" w:rsidRDefault="002E1258" w:rsidP="006A13CE">
      <w:pPr>
        <w:pStyle w:val="ListParagraph"/>
        <w:numPr>
          <w:ilvl w:val="0"/>
          <w:numId w:val="9"/>
        </w:numPr>
        <w:autoSpaceDE w:val="0"/>
        <w:autoSpaceDN w:val="0"/>
        <w:adjustRightInd w:val="0"/>
        <w:rPr>
          <w:rFonts w:asciiTheme="minorHAnsi" w:hAnsiTheme="minorHAnsi" w:cs="TimesNewRomanPSMT"/>
          <w:bCs/>
          <w:sz w:val="24"/>
          <w:szCs w:val="24"/>
        </w:rPr>
      </w:pPr>
      <w:r>
        <w:rPr>
          <w:rFonts w:asciiTheme="minorHAnsi" w:hAnsiTheme="minorHAnsi" w:cs="TimesNewRomanPSMT"/>
          <w:bCs/>
          <w:sz w:val="24"/>
          <w:szCs w:val="24"/>
        </w:rPr>
        <w:t>Cost Change Factors</w:t>
      </w:r>
    </w:p>
    <w:p w14:paraId="3D159411" w14:textId="77777777" w:rsidR="00D623FB" w:rsidRPr="00CF634B" w:rsidRDefault="00D623FB" w:rsidP="00D623FB">
      <w:pPr>
        <w:jc w:val="both"/>
        <w:rPr>
          <w:rFonts w:asciiTheme="minorHAnsi" w:hAnsiTheme="minorHAnsi" w:cs="Arial"/>
          <w:b/>
          <w:sz w:val="24"/>
          <w:szCs w:val="24"/>
        </w:rPr>
      </w:pPr>
    </w:p>
    <w:p w14:paraId="7FDE1961" w14:textId="547BE252" w:rsidR="00D623FB" w:rsidRDefault="00D623FB" w:rsidP="00D623FB">
      <w:pPr>
        <w:jc w:val="both"/>
        <w:rPr>
          <w:rFonts w:asciiTheme="minorHAnsi" w:hAnsiTheme="minorHAnsi" w:cs="Arial"/>
          <w:b/>
          <w:sz w:val="24"/>
          <w:szCs w:val="24"/>
        </w:rPr>
      </w:pPr>
      <w:r w:rsidRPr="00CF634B">
        <w:rPr>
          <w:rFonts w:asciiTheme="minorHAnsi" w:hAnsiTheme="minorHAnsi" w:cs="Arial"/>
          <w:b/>
          <w:sz w:val="24"/>
          <w:szCs w:val="24"/>
        </w:rPr>
        <w:t xml:space="preserve">Recommended Board Action:  </w:t>
      </w:r>
      <w:r w:rsidR="00047042">
        <w:rPr>
          <w:rFonts w:asciiTheme="minorHAnsi" w:hAnsiTheme="minorHAnsi" w:cs="Arial"/>
          <w:bCs/>
          <w:sz w:val="24"/>
          <w:szCs w:val="24"/>
        </w:rPr>
        <w:t>Approve the proposed changes</w:t>
      </w:r>
      <w:r w:rsidR="00D953F8">
        <w:rPr>
          <w:rFonts w:asciiTheme="minorHAnsi" w:hAnsiTheme="minorHAnsi" w:cs="Arial"/>
          <w:bCs/>
          <w:sz w:val="24"/>
          <w:szCs w:val="24"/>
        </w:rPr>
        <w:t>.</w:t>
      </w:r>
    </w:p>
    <w:p w14:paraId="068089D7" w14:textId="77777777" w:rsidR="00D623FB" w:rsidRPr="00505EF7" w:rsidRDefault="00D623FB" w:rsidP="00D623FB">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p>
    <w:p w14:paraId="4BC6AC19" w14:textId="77777777" w:rsidR="00D623FB" w:rsidRDefault="00D623FB" w:rsidP="00505EF7">
      <w:pPr>
        <w:spacing w:before="1"/>
        <w:rPr>
          <w:rFonts w:asciiTheme="minorHAnsi" w:eastAsia="Arial" w:hAnsiTheme="minorHAnsi" w:cs="Arial"/>
          <w:sz w:val="24"/>
          <w:szCs w:val="24"/>
        </w:rPr>
      </w:pPr>
    </w:p>
    <w:p w14:paraId="1FC5154C" w14:textId="13BF5D8A" w:rsidR="00D623FB" w:rsidRPr="00EA7056" w:rsidRDefault="00D623FB" w:rsidP="00D623FB">
      <w:pPr>
        <w:spacing w:before="1"/>
        <w:rPr>
          <w:rFonts w:asciiTheme="minorHAnsi" w:eastAsia="Arial" w:hAnsiTheme="minorHAnsi" w:cs="Arial"/>
          <w:b/>
          <w:sz w:val="24"/>
          <w:szCs w:val="24"/>
        </w:rPr>
      </w:pPr>
      <w:r w:rsidRPr="00505EF7">
        <w:rPr>
          <w:rFonts w:asciiTheme="minorHAnsi" w:eastAsia="Arial" w:hAnsiTheme="minorHAnsi" w:cs="Arial"/>
          <w:b/>
          <w:sz w:val="24"/>
          <w:szCs w:val="24"/>
        </w:rPr>
        <w:t xml:space="preserve">Comment </w:t>
      </w:r>
      <w:r w:rsidR="00C35DDD">
        <w:rPr>
          <w:rFonts w:asciiTheme="minorHAnsi" w:eastAsia="Arial" w:hAnsiTheme="minorHAnsi" w:cs="Arial"/>
          <w:b/>
          <w:sz w:val="24"/>
          <w:szCs w:val="24"/>
        </w:rPr>
        <w:t>6</w:t>
      </w:r>
      <w:r w:rsidRPr="00505EF7">
        <w:rPr>
          <w:rFonts w:asciiTheme="minorHAnsi" w:eastAsia="Arial" w:hAnsiTheme="minorHAnsi" w:cs="Arial"/>
          <w:b/>
          <w:sz w:val="24"/>
          <w:szCs w:val="24"/>
        </w:rPr>
        <w:t xml:space="preserve">: </w:t>
      </w:r>
      <w:r>
        <w:rPr>
          <w:rFonts w:asciiTheme="minorHAnsi" w:eastAsia="Arial" w:hAnsiTheme="minorHAnsi" w:cs="Arial"/>
          <w:b/>
          <w:sz w:val="24"/>
          <w:szCs w:val="24"/>
        </w:rPr>
        <w:t>(</w:t>
      </w:r>
      <w:r w:rsidRPr="00505EF7">
        <w:rPr>
          <w:rFonts w:asciiTheme="minorHAnsi" w:eastAsia="Arial" w:hAnsiTheme="minorHAnsi" w:cs="Arial"/>
          <w:b/>
          <w:sz w:val="24"/>
          <w:szCs w:val="24"/>
        </w:rPr>
        <w:t>Reporting Specifications, Section 2(J)(1)</w:t>
      </w:r>
      <w:r w:rsidR="00C35DDD">
        <w:rPr>
          <w:rFonts w:asciiTheme="minorHAnsi" w:eastAsia="Arial" w:hAnsiTheme="minorHAnsi" w:cs="Arial"/>
          <w:b/>
          <w:sz w:val="24"/>
          <w:szCs w:val="24"/>
        </w:rPr>
        <w:t xml:space="preserve"> – Baseline WAC Amount</w:t>
      </w:r>
      <w:r>
        <w:rPr>
          <w:rFonts w:asciiTheme="minorHAnsi" w:eastAsia="Arial" w:hAnsiTheme="minorHAnsi" w:cs="Arial"/>
          <w:b/>
          <w:sz w:val="24"/>
          <w:szCs w:val="24"/>
        </w:rPr>
        <w:t>)</w:t>
      </w:r>
    </w:p>
    <w:p w14:paraId="0EB57A87" w14:textId="23F75F61" w:rsidR="00505EF7" w:rsidRPr="00505EF7" w:rsidRDefault="00C35DDD" w:rsidP="00505EF7">
      <w:pPr>
        <w:spacing w:before="1"/>
        <w:rPr>
          <w:rFonts w:asciiTheme="minorHAnsi" w:eastAsia="Arial" w:hAnsiTheme="minorHAnsi" w:cs="Arial"/>
          <w:sz w:val="24"/>
          <w:szCs w:val="24"/>
        </w:rPr>
      </w:pPr>
      <w:r>
        <w:rPr>
          <w:rFonts w:asciiTheme="minorHAnsi" w:eastAsia="Arial" w:hAnsiTheme="minorHAnsi" w:cs="Arial"/>
          <w:sz w:val="24"/>
          <w:szCs w:val="24"/>
        </w:rPr>
        <w:t>We</w:t>
      </w:r>
      <w:r w:rsidR="00505EF7" w:rsidRPr="00505EF7">
        <w:rPr>
          <w:rFonts w:asciiTheme="minorHAnsi" w:eastAsia="Arial" w:hAnsiTheme="minorHAnsi" w:cs="Arial"/>
          <w:sz w:val="24"/>
          <w:szCs w:val="24"/>
        </w:rPr>
        <w:t xml:space="preserve"> seek further clarification on the following reporting element categories:  </w:t>
      </w:r>
    </w:p>
    <w:p w14:paraId="632A58CB" w14:textId="77777777"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p>
    <w:p w14:paraId="6A9D5616" w14:textId="0AF863D3" w:rsid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“Baseline WAC Amount” – Although this element was also included in the previously finalized rules, an illustrative example of how to calculate this item in guidance would help to clarify how the amount is calculated. </w:t>
      </w:r>
    </w:p>
    <w:p w14:paraId="7049DFEE" w14:textId="77777777" w:rsidR="00C35DDD" w:rsidRDefault="00C35DDD" w:rsidP="00C35DDD">
      <w:pPr>
        <w:spacing w:before="1"/>
        <w:rPr>
          <w:rFonts w:asciiTheme="minorHAnsi" w:eastAsia="Arial" w:hAnsiTheme="minorHAnsi" w:cs="Arial"/>
          <w:sz w:val="24"/>
          <w:szCs w:val="24"/>
        </w:rPr>
      </w:pPr>
    </w:p>
    <w:p w14:paraId="666B0DA9" w14:textId="4003BBEC" w:rsidR="00D953F8" w:rsidRPr="00D953F8" w:rsidRDefault="00C35DDD" w:rsidP="00D953F8">
      <w:pPr>
        <w:spacing w:before="1"/>
        <w:rPr>
          <w:rFonts w:asciiTheme="minorHAnsi" w:hAnsiTheme="minorHAnsi" w:cstheme="minorHAnsi"/>
          <w:sz w:val="24"/>
          <w:szCs w:val="24"/>
        </w:rPr>
      </w:pPr>
      <w:r w:rsidRPr="00CF634B">
        <w:rPr>
          <w:rFonts w:asciiTheme="minorHAnsi" w:hAnsiTheme="minorHAnsi" w:cs="Arial"/>
          <w:b/>
          <w:sz w:val="24"/>
          <w:szCs w:val="24"/>
        </w:rPr>
        <w:t xml:space="preserve">MHDO Staff Response:  </w:t>
      </w:r>
      <w:r w:rsidRPr="00D953F8">
        <w:rPr>
          <w:rFonts w:asciiTheme="minorHAnsi" w:hAnsiTheme="minorHAnsi" w:cstheme="minorHAnsi"/>
          <w:sz w:val="24"/>
          <w:szCs w:val="24"/>
        </w:rPr>
        <w:t xml:space="preserve">Baseline WAC Amount </w:t>
      </w:r>
      <w:r w:rsidR="00D953F8" w:rsidRPr="00D953F8">
        <w:rPr>
          <w:rFonts w:asciiTheme="minorHAnsi" w:hAnsiTheme="minorHAnsi" w:cstheme="minorHAnsi"/>
          <w:sz w:val="24"/>
          <w:szCs w:val="24"/>
        </w:rPr>
        <w:t>provides MHDO with the starting point WAC price of an NDC during a reporting period.  For a majority of NDCs the starting point price will be the WAC for the NDC on the last day of the prior calendar year.  In some instances, however, a manufacturer may launch a new drug product or acquire a drug product during the reporting period.  In such instances, the initial WAC price at market introduction or product acquisition is the Baseline WAC Amount.  The difference between the Baseline WAC Amount and the WAC price on the last day of the reporting period will be the Total WAC Change Amount.</w:t>
      </w:r>
    </w:p>
    <w:p w14:paraId="455A8932" w14:textId="77777777" w:rsidR="00D953F8" w:rsidRPr="00D623FB" w:rsidRDefault="00D953F8" w:rsidP="00C35DDD">
      <w:pPr>
        <w:autoSpaceDE w:val="0"/>
        <w:autoSpaceDN w:val="0"/>
        <w:adjustRightInd w:val="0"/>
        <w:rPr>
          <w:rFonts w:asciiTheme="minorHAnsi" w:hAnsiTheme="minorHAnsi" w:cs="TimesNewRomanPSMT"/>
          <w:bCs/>
          <w:sz w:val="24"/>
          <w:szCs w:val="24"/>
        </w:rPr>
      </w:pPr>
    </w:p>
    <w:p w14:paraId="3BE313BF" w14:textId="0C28D65D" w:rsidR="00C35DDD" w:rsidRDefault="00C35DDD" w:rsidP="00C35DDD">
      <w:pPr>
        <w:jc w:val="both"/>
        <w:rPr>
          <w:rFonts w:asciiTheme="minorHAnsi" w:hAnsiTheme="minorHAnsi" w:cs="Arial"/>
          <w:b/>
          <w:sz w:val="24"/>
          <w:szCs w:val="24"/>
        </w:rPr>
      </w:pPr>
      <w:r w:rsidRPr="00CF634B">
        <w:rPr>
          <w:rFonts w:asciiTheme="minorHAnsi" w:hAnsiTheme="minorHAnsi" w:cs="Arial"/>
          <w:b/>
          <w:sz w:val="24"/>
          <w:szCs w:val="24"/>
        </w:rPr>
        <w:t xml:space="preserve">Recommended Board Action:  </w:t>
      </w:r>
      <w:r w:rsidR="00D953F8">
        <w:rPr>
          <w:rFonts w:asciiTheme="minorHAnsi" w:hAnsiTheme="minorHAnsi" w:cs="Arial"/>
          <w:bCs/>
          <w:sz w:val="24"/>
          <w:szCs w:val="24"/>
        </w:rPr>
        <w:t>No further action needed.</w:t>
      </w:r>
    </w:p>
    <w:p w14:paraId="30FC6AE0" w14:textId="15B46A1B" w:rsidR="00505EF7" w:rsidRDefault="00505EF7" w:rsidP="00505EF7">
      <w:pPr>
        <w:spacing w:before="1"/>
        <w:rPr>
          <w:rFonts w:asciiTheme="minorHAnsi" w:eastAsia="Arial" w:hAnsiTheme="minorHAnsi" w:cs="Arial"/>
          <w:sz w:val="24"/>
          <w:szCs w:val="24"/>
        </w:rPr>
      </w:pPr>
    </w:p>
    <w:p w14:paraId="4ACBBEC2" w14:textId="77777777" w:rsidR="00C35DDD" w:rsidRDefault="00C35DDD" w:rsidP="00C35DDD">
      <w:pPr>
        <w:spacing w:before="1"/>
        <w:rPr>
          <w:rFonts w:asciiTheme="minorHAnsi" w:eastAsia="Arial" w:hAnsiTheme="minorHAnsi" w:cs="Arial"/>
          <w:sz w:val="24"/>
          <w:szCs w:val="24"/>
        </w:rPr>
      </w:pPr>
    </w:p>
    <w:p w14:paraId="0561F577" w14:textId="33239F3D" w:rsidR="00C35DDD" w:rsidRPr="00EA7056" w:rsidRDefault="00C35DDD" w:rsidP="00C35DDD">
      <w:pPr>
        <w:spacing w:before="1"/>
        <w:rPr>
          <w:rFonts w:asciiTheme="minorHAnsi" w:eastAsia="Arial" w:hAnsiTheme="minorHAnsi" w:cs="Arial"/>
          <w:b/>
          <w:sz w:val="24"/>
          <w:szCs w:val="24"/>
        </w:rPr>
      </w:pPr>
      <w:r w:rsidRPr="00505EF7">
        <w:rPr>
          <w:rFonts w:asciiTheme="minorHAnsi" w:eastAsia="Arial" w:hAnsiTheme="minorHAnsi" w:cs="Arial"/>
          <w:b/>
          <w:sz w:val="24"/>
          <w:szCs w:val="24"/>
        </w:rPr>
        <w:t xml:space="preserve">Comment </w:t>
      </w:r>
      <w:r w:rsidR="00D953F8">
        <w:rPr>
          <w:rFonts w:asciiTheme="minorHAnsi" w:eastAsia="Arial" w:hAnsiTheme="minorHAnsi" w:cs="Arial"/>
          <w:b/>
          <w:sz w:val="24"/>
          <w:szCs w:val="24"/>
        </w:rPr>
        <w:t>7</w:t>
      </w:r>
      <w:r w:rsidRPr="00505EF7">
        <w:rPr>
          <w:rFonts w:asciiTheme="minorHAnsi" w:eastAsia="Arial" w:hAnsiTheme="minorHAnsi" w:cs="Arial"/>
          <w:b/>
          <w:sz w:val="24"/>
          <w:szCs w:val="24"/>
        </w:rPr>
        <w:t xml:space="preserve">: </w:t>
      </w:r>
      <w:r>
        <w:rPr>
          <w:rFonts w:asciiTheme="minorHAnsi" w:eastAsia="Arial" w:hAnsiTheme="minorHAnsi" w:cs="Arial"/>
          <w:b/>
          <w:sz w:val="24"/>
          <w:szCs w:val="24"/>
        </w:rPr>
        <w:t>(</w:t>
      </w:r>
      <w:r w:rsidRPr="00505EF7">
        <w:rPr>
          <w:rFonts w:asciiTheme="minorHAnsi" w:eastAsia="Arial" w:hAnsiTheme="minorHAnsi" w:cs="Arial"/>
          <w:b/>
          <w:sz w:val="24"/>
          <w:szCs w:val="24"/>
        </w:rPr>
        <w:t>Reporting Specifications, Section 2(J)(1)</w:t>
      </w:r>
      <w:r>
        <w:rPr>
          <w:rFonts w:asciiTheme="minorHAnsi" w:eastAsia="Arial" w:hAnsiTheme="minorHAnsi" w:cs="Arial"/>
          <w:b/>
          <w:sz w:val="24"/>
          <w:szCs w:val="24"/>
        </w:rPr>
        <w:t xml:space="preserve"> – </w:t>
      </w:r>
      <w:r w:rsidR="00D953F8">
        <w:rPr>
          <w:rFonts w:asciiTheme="minorHAnsi" w:eastAsia="Arial" w:hAnsiTheme="minorHAnsi" w:cs="Arial"/>
          <w:b/>
          <w:sz w:val="24"/>
          <w:szCs w:val="24"/>
        </w:rPr>
        <w:t>Total Rebate Payable</w:t>
      </w:r>
      <w:r>
        <w:rPr>
          <w:rFonts w:asciiTheme="minorHAnsi" w:eastAsia="Arial" w:hAnsiTheme="minorHAnsi" w:cs="Arial"/>
          <w:b/>
          <w:sz w:val="24"/>
          <w:szCs w:val="24"/>
        </w:rPr>
        <w:t xml:space="preserve"> Amount)</w:t>
      </w:r>
    </w:p>
    <w:p w14:paraId="569DFAE1" w14:textId="021571D7" w:rsidR="00C35DDD" w:rsidRPr="00505EF7" w:rsidRDefault="00C35DDD" w:rsidP="00C35DDD">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r>
        <w:rPr>
          <w:rFonts w:asciiTheme="minorHAnsi" w:eastAsia="Arial" w:hAnsiTheme="minorHAnsi" w:cs="Arial"/>
          <w:sz w:val="24"/>
          <w:szCs w:val="24"/>
        </w:rPr>
        <w:t>We</w:t>
      </w:r>
      <w:r w:rsidRPr="00505EF7">
        <w:rPr>
          <w:rFonts w:asciiTheme="minorHAnsi" w:eastAsia="Arial" w:hAnsiTheme="minorHAnsi" w:cs="Arial"/>
          <w:sz w:val="24"/>
          <w:szCs w:val="24"/>
        </w:rPr>
        <w:t xml:space="preserve"> seek further clarification on the following reporting element categories:  </w:t>
      </w:r>
    </w:p>
    <w:p w14:paraId="7B6E1FED" w14:textId="77777777" w:rsidR="00C35DDD" w:rsidRPr="00505EF7" w:rsidRDefault="00C35DDD" w:rsidP="00505EF7">
      <w:pPr>
        <w:spacing w:before="1"/>
        <w:rPr>
          <w:rFonts w:asciiTheme="minorHAnsi" w:eastAsia="Arial" w:hAnsiTheme="minorHAnsi" w:cs="Arial"/>
          <w:sz w:val="24"/>
          <w:szCs w:val="24"/>
        </w:rPr>
      </w:pPr>
    </w:p>
    <w:p w14:paraId="50E04683" w14:textId="423253D5"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“Total Rebate Payable Amount” - While a ‘total rebate’ amount must be provided by multiple reporters, neither the regulatory definition nor the form clarifies the scope of this requirement. To ensure consistency in reporting, we recommend clarifying the scope of this reporting is limited to the private, commercial market.  </w:t>
      </w:r>
    </w:p>
    <w:p w14:paraId="5EC8BCC0" w14:textId="77777777" w:rsidR="00C35DDD" w:rsidRDefault="00C35DDD" w:rsidP="00C35DDD">
      <w:pPr>
        <w:spacing w:before="1"/>
        <w:rPr>
          <w:rFonts w:asciiTheme="minorHAnsi" w:eastAsia="Arial" w:hAnsiTheme="minorHAnsi" w:cs="Arial"/>
          <w:sz w:val="24"/>
          <w:szCs w:val="24"/>
        </w:rPr>
      </w:pPr>
    </w:p>
    <w:p w14:paraId="2E2CA62D" w14:textId="4C148C85" w:rsidR="00D953F8" w:rsidRPr="003F50C2" w:rsidRDefault="00C35DDD" w:rsidP="00D953F8">
      <w:pPr>
        <w:autoSpaceDE w:val="0"/>
        <w:autoSpaceDN w:val="0"/>
        <w:adjustRightInd w:val="0"/>
        <w:jc w:val="both"/>
        <w:rPr>
          <w:rFonts w:asciiTheme="minorHAnsi" w:hAnsiTheme="minorHAnsi" w:cstheme="minorHAnsi"/>
          <w:sz w:val="24"/>
          <w:szCs w:val="24"/>
        </w:rPr>
      </w:pPr>
      <w:r w:rsidRPr="00CF634B">
        <w:rPr>
          <w:rFonts w:asciiTheme="minorHAnsi" w:hAnsiTheme="minorHAnsi" w:cs="Arial"/>
          <w:b/>
          <w:sz w:val="24"/>
          <w:szCs w:val="24"/>
        </w:rPr>
        <w:t xml:space="preserve">MHDO Staff Response:  </w:t>
      </w:r>
      <w:r w:rsidR="00D953F8" w:rsidRPr="003F50C2">
        <w:rPr>
          <w:rFonts w:asciiTheme="minorHAnsi" w:hAnsiTheme="minorHAnsi" w:cstheme="minorHAnsi"/>
          <w:sz w:val="24"/>
          <w:szCs w:val="24"/>
        </w:rPr>
        <w:t>Total Rebate Payable Amount in US represents the total amount of any</w:t>
      </w:r>
      <w:r w:rsidR="00D953F8">
        <w:rPr>
          <w:rFonts w:asciiTheme="minorHAnsi" w:hAnsiTheme="minorHAnsi" w:cstheme="minorHAnsi"/>
          <w:sz w:val="24"/>
          <w:szCs w:val="24"/>
        </w:rPr>
        <w:t xml:space="preserve"> and all</w:t>
      </w:r>
      <w:r w:rsidR="00D953F8" w:rsidRPr="003F50C2">
        <w:rPr>
          <w:rFonts w:asciiTheme="minorHAnsi" w:hAnsiTheme="minorHAnsi" w:cstheme="minorHAnsi"/>
          <w:sz w:val="24"/>
          <w:szCs w:val="24"/>
        </w:rPr>
        <w:t xml:space="preserve"> rebates, as defined in Section 1(Q), that will be paid to any entity</w:t>
      </w:r>
      <w:r w:rsidR="00D953F8">
        <w:rPr>
          <w:rFonts w:asciiTheme="minorHAnsi" w:hAnsiTheme="minorHAnsi" w:cstheme="minorHAnsi"/>
          <w:sz w:val="24"/>
          <w:szCs w:val="24"/>
        </w:rPr>
        <w:t>, whether governmental, private, or commercial,</w:t>
      </w:r>
      <w:r w:rsidR="00D953F8" w:rsidRPr="003F50C2">
        <w:rPr>
          <w:rFonts w:asciiTheme="minorHAnsi" w:hAnsiTheme="minorHAnsi" w:cstheme="minorHAnsi"/>
          <w:sz w:val="24"/>
          <w:szCs w:val="24"/>
        </w:rPr>
        <w:t xml:space="preserve"> resulting from the purchase and/or sale of a drug product during the calendar year. </w:t>
      </w:r>
      <w:r w:rsidR="00D953F8">
        <w:rPr>
          <w:rFonts w:asciiTheme="minorHAnsi" w:hAnsiTheme="minorHAnsi" w:cstheme="minorHAnsi"/>
          <w:sz w:val="24"/>
          <w:szCs w:val="24"/>
        </w:rPr>
        <w:t xml:space="preserve"> </w:t>
      </w:r>
    </w:p>
    <w:p w14:paraId="08BF977B" w14:textId="01EFC8AB" w:rsidR="00C35DDD" w:rsidRPr="00CF634B" w:rsidRDefault="00C35DDD" w:rsidP="00D953F8">
      <w:pPr>
        <w:autoSpaceDE w:val="0"/>
        <w:autoSpaceDN w:val="0"/>
        <w:adjustRightInd w:val="0"/>
        <w:rPr>
          <w:rFonts w:asciiTheme="minorHAnsi" w:hAnsiTheme="minorHAnsi" w:cs="Arial"/>
          <w:b/>
          <w:sz w:val="24"/>
          <w:szCs w:val="24"/>
        </w:rPr>
      </w:pPr>
    </w:p>
    <w:p w14:paraId="60A55641" w14:textId="77777777" w:rsidR="00D953F8" w:rsidRDefault="00C35DDD" w:rsidP="00D953F8">
      <w:pPr>
        <w:jc w:val="both"/>
        <w:rPr>
          <w:rFonts w:asciiTheme="minorHAnsi" w:hAnsiTheme="minorHAnsi" w:cs="Arial"/>
          <w:b/>
          <w:sz w:val="24"/>
          <w:szCs w:val="24"/>
        </w:rPr>
      </w:pPr>
      <w:r w:rsidRPr="00CF634B">
        <w:rPr>
          <w:rFonts w:asciiTheme="minorHAnsi" w:hAnsiTheme="minorHAnsi" w:cs="Arial"/>
          <w:b/>
          <w:sz w:val="24"/>
          <w:szCs w:val="24"/>
        </w:rPr>
        <w:t xml:space="preserve">Recommended Board Action:  </w:t>
      </w:r>
      <w:r w:rsidR="00D953F8">
        <w:rPr>
          <w:rFonts w:asciiTheme="minorHAnsi" w:hAnsiTheme="minorHAnsi" w:cs="Arial"/>
          <w:bCs/>
          <w:sz w:val="24"/>
          <w:szCs w:val="24"/>
        </w:rPr>
        <w:t>No further action needed.</w:t>
      </w:r>
    </w:p>
    <w:p w14:paraId="0ECD0F54" w14:textId="77777777" w:rsidR="00C35DDD" w:rsidRDefault="00C35DDD" w:rsidP="00505EF7">
      <w:pPr>
        <w:spacing w:before="1"/>
        <w:rPr>
          <w:rFonts w:asciiTheme="minorHAnsi" w:eastAsia="Arial" w:hAnsiTheme="minorHAnsi" w:cs="Arial"/>
          <w:sz w:val="24"/>
          <w:szCs w:val="24"/>
        </w:rPr>
      </w:pPr>
    </w:p>
    <w:p w14:paraId="6BD1C010" w14:textId="77777777" w:rsidR="00C35DDD" w:rsidRDefault="00C35DDD" w:rsidP="00C35DDD">
      <w:pPr>
        <w:spacing w:before="1"/>
        <w:rPr>
          <w:rFonts w:asciiTheme="minorHAnsi" w:eastAsia="Arial" w:hAnsiTheme="minorHAnsi" w:cs="Arial"/>
          <w:sz w:val="24"/>
          <w:szCs w:val="24"/>
        </w:rPr>
      </w:pPr>
    </w:p>
    <w:p w14:paraId="68C208A4" w14:textId="4E7E7CA6" w:rsidR="00C35DDD" w:rsidRPr="00EA7056" w:rsidRDefault="00C35DDD" w:rsidP="00C35DDD">
      <w:pPr>
        <w:spacing w:before="1"/>
        <w:rPr>
          <w:rFonts w:asciiTheme="minorHAnsi" w:eastAsia="Arial" w:hAnsiTheme="minorHAnsi" w:cs="Arial"/>
          <w:b/>
          <w:sz w:val="24"/>
          <w:szCs w:val="24"/>
        </w:rPr>
      </w:pPr>
      <w:r w:rsidRPr="00505EF7">
        <w:rPr>
          <w:rFonts w:asciiTheme="minorHAnsi" w:eastAsia="Arial" w:hAnsiTheme="minorHAnsi" w:cs="Arial"/>
          <w:b/>
          <w:sz w:val="24"/>
          <w:szCs w:val="24"/>
        </w:rPr>
        <w:t xml:space="preserve">Comment </w:t>
      </w:r>
      <w:r w:rsidR="00A90CB1">
        <w:rPr>
          <w:rFonts w:asciiTheme="minorHAnsi" w:eastAsia="Arial" w:hAnsiTheme="minorHAnsi" w:cs="Arial"/>
          <w:b/>
          <w:sz w:val="24"/>
          <w:szCs w:val="24"/>
        </w:rPr>
        <w:t>8</w:t>
      </w:r>
      <w:r w:rsidRPr="00505EF7">
        <w:rPr>
          <w:rFonts w:asciiTheme="minorHAnsi" w:eastAsia="Arial" w:hAnsiTheme="minorHAnsi" w:cs="Arial"/>
          <w:b/>
          <w:sz w:val="24"/>
          <w:szCs w:val="24"/>
        </w:rPr>
        <w:t xml:space="preserve">: </w:t>
      </w:r>
      <w:r>
        <w:rPr>
          <w:rFonts w:asciiTheme="minorHAnsi" w:eastAsia="Arial" w:hAnsiTheme="minorHAnsi" w:cs="Arial"/>
          <w:b/>
          <w:sz w:val="24"/>
          <w:szCs w:val="24"/>
        </w:rPr>
        <w:t>(</w:t>
      </w:r>
      <w:r w:rsidRPr="00505EF7">
        <w:rPr>
          <w:rFonts w:asciiTheme="minorHAnsi" w:eastAsia="Arial" w:hAnsiTheme="minorHAnsi" w:cs="Arial"/>
          <w:b/>
          <w:sz w:val="24"/>
          <w:szCs w:val="24"/>
        </w:rPr>
        <w:t>Reporting Specifications, Section 2(J)(1)</w:t>
      </w:r>
      <w:r>
        <w:rPr>
          <w:rFonts w:asciiTheme="minorHAnsi" w:eastAsia="Arial" w:hAnsiTheme="minorHAnsi" w:cs="Arial"/>
          <w:b/>
          <w:sz w:val="24"/>
          <w:szCs w:val="24"/>
        </w:rPr>
        <w:t xml:space="preserve"> – </w:t>
      </w:r>
      <w:r w:rsidR="00D953F8">
        <w:rPr>
          <w:rFonts w:asciiTheme="minorHAnsi" w:eastAsia="Arial" w:hAnsiTheme="minorHAnsi" w:cs="Arial"/>
          <w:b/>
          <w:sz w:val="24"/>
          <w:szCs w:val="24"/>
        </w:rPr>
        <w:t>Estimated Number of Patients</w:t>
      </w:r>
      <w:r>
        <w:rPr>
          <w:rFonts w:asciiTheme="minorHAnsi" w:eastAsia="Arial" w:hAnsiTheme="minorHAnsi" w:cs="Arial"/>
          <w:b/>
          <w:sz w:val="24"/>
          <w:szCs w:val="24"/>
        </w:rPr>
        <w:t>)</w:t>
      </w:r>
    </w:p>
    <w:p w14:paraId="018214C0" w14:textId="4C730DEC" w:rsidR="00C35DDD" w:rsidRPr="00505EF7" w:rsidRDefault="00C35DDD" w:rsidP="00C35DDD">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r>
        <w:rPr>
          <w:rFonts w:asciiTheme="minorHAnsi" w:eastAsia="Arial" w:hAnsiTheme="minorHAnsi" w:cs="Arial"/>
          <w:sz w:val="24"/>
          <w:szCs w:val="24"/>
        </w:rPr>
        <w:t>We</w:t>
      </w:r>
      <w:r w:rsidRPr="00505EF7">
        <w:rPr>
          <w:rFonts w:asciiTheme="minorHAnsi" w:eastAsia="Arial" w:hAnsiTheme="minorHAnsi" w:cs="Arial"/>
          <w:sz w:val="24"/>
          <w:szCs w:val="24"/>
        </w:rPr>
        <w:t xml:space="preserve"> seek further clarification on the following reporting element categories:  </w:t>
      </w:r>
    </w:p>
    <w:p w14:paraId="46FDE169" w14:textId="05AE67B4"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p>
    <w:p w14:paraId="14BD6079" w14:textId="6D996C2D" w:rsid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“Estimated Number of Patients” – In the Proposed Rule, other reporting elements specify the data be from the prior calendar year. We would recommend that this element be clarified to apply to the prior calendar year. </w:t>
      </w:r>
    </w:p>
    <w:p w14:paraId="31D7F156" w14:textId="77777777" w:rsidR="00464208" w:rsidRDefault="00464208" w:rsidP="00505EF7">
      <w:pPr>
        <w:spacing w:before="1"/>
        <w:rPr>
          <w:rFonts w:asciiTheme="minorHAnsi" w:eastAsia="Arial" w:hAnsiTheme="minorHAnsi" w:cs="Arial"/>
          <w:sz w:val="24"/>
          <w:szCs w:val="24"/>
        </w:rPr>
      </w:pPr>
    </w:p>
    <w:p w14:paraId="0B327C5A" w14:textId="67821991" w:rsidR="00677A98" w:rsidRDefault="00C1504D" w:rsidP="00677A98">
      <w:pPr>
        <w:autoSpaceDE w:val="0"/>
        <w:autoSpaceDN w:val="0"/>
        <w:adjustRightInd w:val="0"/>
        <w:rPr>
          <w:rFonts w:asciiTheme="minorHAnsi" w:hAnsiTheme="minorHAnsi" w:cs="Arial"/>
          <w:bCs/>
          <w:sz w:val="24"/>
          <w:szCs w:val="24"/>
        </w:rPr>
      </w:pPr>
      <w:r w:rsidRPr="00CF634B">
        <w:rPr>
          <w:rFonts w:asciiTheme="minorHAnsi" w:hAnsiTheme="minorHAnsi" w:cs="Arial"/>
          <w:b/>
          <w:sz w:val="24"/>
          <w:szCs w:val="24"/>
        </w:rPr>
        <w:t xml:space="preserve">MHDO Staff Response:  </w:t>
      </w:r>
      <w:r w:rsidR="00677A98">
        <w:rPr>
          <w:rFonts w:asciiTheme="minorHAnsi" w:hAnsiTheme="minorHAnsi" w:cs="Arial"/>
          <w:bCs/>
          <w:sz w:val="24"/>
          <w:szCs w:val="24"/>
        </w:rPr>
        <w:t>The Estimated Number of Patients data element is intended to provide MHDO a forward-looking estimate of drug demand in the market based on market conditions at the time of reporting.  Manufacturers should provide their best estimate of the number of patients that will use the drug product during the current year.</w:t>
      </w:r>
    </w:p>
    <w:p w14:paraId="051BB68E" w14:textId="13372820" w:rsidR="00A51410" w:rsidRDefault="00A51410" w:rsidP="00677A98">
      <w:pPr>
        <w:autoSpaceDE w:val="0"/>
        <w:autoSpaceDN w:val="0"/>
        <w:adjustRightInd w:val="0"/>
        <w:rPr>
          <w:rFonts w:asciiTheme="minorHAnsi" w:hAnsiTheme="minorHAnsi" w:cs="Arial"/>
          <w:bCs/>
          <w:sz w:val="24"/>
          <w:szCs w:val="24"/>
        </w:rPr>
      </w:pPr>
    </w:p>
    <w:p w14:paraId="460B127D" w14:textId="2CDE7738" w:rsidR="00A51410" w:rsidRPr="00063E5F" w:rsidRDefault="00B04888" w:rsidP="00677A98">
      <w:pPr>
        <w:autoSpaceDE w:val="0"/>
        <w:autoSpaceDN w:val="0"/>
        <w:adjustRightInd w:val="0"/>
        <w:rPr>
          <w:rFonts w:asciiTheme="minorHAnsi" w:hAnsiTheme="minorHAnsi" w:cs="TimesNewRomanPSMT"/>
          <w:bCs/>
          <w:sz w:val="24"/>
          <w:szCs w:val="24"/>
        </w:rPr>
      </w:pPr>
      <w:r>
        <w:rPr>
          <w:rFonts w:asciiTheme="minorHAnsi" w:hAnsiTheme="minorHAnsi" w:cs="Arial"/>
          <w:bCs/>
          <w:sz w:val="24"/>
          <w:szCs w:val="24"/>
        </w:rPr>
        <w:t>Add</w:t>
      </w:r>
      <w:r w:rsidR="00A51410">
        <w:rPr>
          <w:rFonts w:asciiTheme="minorHAnsi" w:hAnsiTheme="minorHAnsi" w:cs="Arial"/>
          <w:bCs/>
          <w:sz w:val="24"/>
          <w:szCs w:val="24"/>
        </w:rPr>
        <w:t xml:space="preserve"> clarifying language to the data element description to specify reporting for the current year.</w:t>
      </w:r>
    </w:p>
    <w:p w14:paraId="06C0DB13" w14:textId="77777777" w:rsidR="00C1504D" w:rsidRPr="00CF634B" w:rsidRDefault="00C1504D" w:rsidP="00C1504D">
      <w:pPr>
        <w:jc w:val="both"/>
        <w:rPr>
          <w:rFonts w:asciiTheme="minorHAnsi" w:hAnsiTheme="minorHAnsi" w:cs="Arial"/>
          <w:b/>
          <w:sz w:val="24"/>
          <w:szCs w:val="24"/>
        </w:rPr>
      </w:pPr>
    </w:p>
    <w:p w14:paraId="26BE366B" w14:textId="6F896525" w:rsidR="00A51410" w:rsidRDefault="00C1504D" w:rsidP="00A51410">
      <w:pPr>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A51410">
        <w:rPr>
          <w:rFonts w:asciiTheme="minorHAnsi" w:hAnsiTheme="minorHAnsi" w:cs="Arial"/>
          <w:bCs/>
          <w:sz w:val="24"/>
          <w:szCs w:val="24"/>
        </w:rPr>
        <w:t>Amend Section 2(J)(1), Estimated Number of Patients De</w:t>
      </w:r>
      <w:r w:rsidR="00A90CB1">
        <w:rPr>
          <w:rFonts w:asciiTheme="minorHAnsi" w:hAnsiTheme="minorHAnsi" w:cs="Arial"/>
          <w:bCs/>
          <w:sz w:val="24"/>
          <w:szCs w:val="24"/>
        </w:rPr>
        <w:t>scription</w:t>
      </w:r>
      <w:r w:rsidR="00A51410">
        <w:rPr>
          <w:rFonts w:asciiTheme="minorHAnsi" w:hAnsiTheme="minorHAnsi" w:cs="Arial"/>
          <w:bCs/>
          <w:sz w:val="24"/>
          <w:szCs w:val="24"/>
        </w:rPr>
        <w:t>/Codes/Sources as follows:</w:t>
      </w:r>
    </w:p>
    <w:p w14:paraId="4FA762B3" w14:textId="638254CD" w:rsidR="00A51410" w:rsidRDefault="00A51410" w:rsidP="00A51410">
      <w:pPr>
        <w:rPr>
          <w:rFonts w:asciiTheme="minorHAnsi" w:hAnsiTheme="minorHAnsi" w:cs="Arial"/>
          <w:bCs/>
          <w:sz w:val="24"/>
          <w:szCs w:val="24"/>
        </w:rPr>
      </w:pPr>
    </w:p>
    <w:p w14:paraId="2FA11DA1" w14:textId="62EB550D" w:rsidR="00C1504D" w:rsidRPr="00677A98" w:rsidRDefault="00A51410" w:rsidP="00A51410">
      <w:pPr>
        <w:ind w:left="720"/>
        <w:rPr>
          <w:rFonts w:asciiTheme="minorHAnsi" w:hAnsiTheme="minorHAnsi" w:cs="Arial"/>
          <w:bCs/>
          <w:sz w:val="24"/>
          <w:szCs w:val="24"/>
        </w:rPr>
      </w:pPr>
      <w:r>
        <w:rPr>
          <w:rFonts w:asciiTheme="minorHAnsi" w:hAnsiTheme="minorHAnsi" w:cs="Arial"/>
          <w:bCs/>
          <w:sz w:val="24"/>
          <w:szCs w:val="24"/>
        </w:rPr>
        <w:t xml:space="preserve">Estimated annual patient volume in the United States for this drug product </w:t>
      </w:r>
      <w:r w:rsidRPr="00A51410">
        <w:rPr>
          <w:rFonts w:asciiTheme="minorHAnsi" w:hAnsiTheme="minorHAnsi" w:cs="Arial"/>
          <w:bCs/>
          <w:sz w:val="24"/>
          <w:szCs w:val="24"/>
          <w:u w:val="single"/>
        </w:rPr>
        <w:t>during the current calendar year</w:t>
      </w:r>
      <w:r>
        <w:rPr>
          <w:rFonts w:asciiTheme="minorHAnsi" w:hAnsiTheme="minorHAnsi" w:cs="Arial"/>
          <w:bCs/>
          <w:sz w:val="24"/>
          <w:szCs w:val="24"/>
        </w:rPr>
        <w:t>.</w:t>
      </w:r>
    </w:p>
    <w:p w14:paraId="4445350D" w14:textId="13AFBF6B" w:rsidR="00505EF7" w:rsidRPr="00505EF7" w:rsidRDefault="00505EF7" w:rsidP="00505EF7">
      <w:pPr>
        <w:spacing w:before="1"/>
        <w:rPr>
          <w:rFonts w:asciiTheme="minorHAnsi" w:eastAsia="Arial" w:hAnsiTheme="minorHAnsi" w:cs="Arial"/>
          <w:sz w:val="24"/>
          <w:szCs w:val="24"/>
        </w:rPr>
      </w:pPr>
    </w:p>
    <w:p w14:paraId="61DFE0DA" w14:textId="279C1336" w:rsidR="00505EF7" w:rsidRPr="00C1504D" w:rsidRDefault="00C1504D" w:rsidP="00505EF7">
      <w:pPr>
        <w:spacing w:before="1"/>
        <w:rPr>
          <w:rFonts w:asciiTheme="minorHAnsi" w:eastAsia="Arial" w:hAnsiTheme="minorHAnsi" w:cs="Arial"/>
          <w:b/>
          <w:sz w:val="24"/>
          <w:szCs w:val="24"/>
        </w:rPr>
      </w:pPr>
      <w:r>
        <w:rPr>
          <w:rFonts w:asciiTheme="minorHAnsi" w:eastAsia="Arial" w:hAnsiTheme="minorHAnsi" w:cs="Arial"/>
          <w:b/>
          <w:sz w:val="24"/>
          <w:szCs w:val="24"/>
        </w:rPr>
        <w:t xml:space="preserve">Comment </w:t>
      </w:r>
      <w:r w:rsidR="00A90CB1">
        <w:rPr>
          <w:rFonts w:asciiTheme="minorHAnsi" w:eastAsia="Arial" w:hAnsiTheme="minorHAnsi" w:cs="Arial"/>
          <w:b/>
          <w:sz w:val="24"/>
          <w:szCs w:val="24"/>
        </w:rPr>
        <w:t>9</w:t>
      </w:r>
      <w:r>
        <w:rPr>
          <w:rFonts w:asciiTheme="minorHAnsi" w:eastAsia="Arial" w:hAnsiTheme="minorHAnsi" w:cs="Arial"/>
          <w:b/>
          <w:sz w:val="24"/>
          <w:szCs w:val="24"/>
        </w:rPr>
        <w:t xml:space="preserve">: </w:t>
      </w:r>
      <w:r w:rsidR="00EA7056">
        <w:rPr>
          <w:rFonts w:asciiTheme="minorHAnsi" w:eastAsia="Arial" w:hAnsiTheme="minorHAnsi" w:cs="Arial"/>
          <w:b/>
          <w:sz w:val="24"/>
          <w:szCs w:val="24"/>
        </w:rPr>
        <w:t>(</w:t>
      </w:r>
      <w:r w:rsidR="00505EF7" w:rsidRPr="00C1504D">
        <w:rPr>
          <w:rFonts w:asciiTheme="minorHAnsi" w:eastAsia="Arial" w:hAnsiTheme="minorHAnsi" w:cs="Arial"/>
          <w:b/>
          <w:sz w:val="24"/>
          <w:szCs w:val="24"/>
        </w:rPr>
        <w:t>Confidentiality</w:t>
      </w:r>
      <w:r w:rsidRPr="00C1504D">
        <w:rPr>
          <w:rFonts w:asciiTheme="minorHAnsi" w:eastAsia="Arial" w:hAnsiTheme="minorHAnsi" w:cs="Arial"/>
          <w:b/>
          <w:sz w:val="24"/>
          <w:szCs w:val="24"/>
        </w:rPr>
        <w:t>, Section 6</w:t>
      </w:r>
      <w:r w:rsidR="00EA7056">
        <w:rPr>
          <w:rFonts w:asciiTheme="minorHAnsi" w:eastAsia="Arial" w:hAnsiTheme="minorHAnsi" w:cs="Arial"/>
          <w:b/>
          <w:sz w:val="24"/>
          <w:szCs w:val="24"/>
        </w:rPr>
        <w:t>)</w:t>
      </w:r>
    </w:p>
    <w:p w14:paraId="64C1E375" w14:textId="584F1C6C" w:rsid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In the event MHDO codifies new reporting requirements from subsection 5 of 22 MRSA §8712, MHDO should be clear that the same confidentiality protections in Sec. 8.  22 MRSA c. 1683, sub-c. 3, § 8733 apply to any new information submitted by manufacturers. </w:t>
      </w:r>
    </w:p>
    <w:p w14:paraId="6E02500C" w14:textId="77777777" w:rsidR="00464208" w:rsidRDefault="00464208" w:rsidP="00505EF7">
      <w:pPr>
        <w:spacing w:before="1"/>
        <w:rPr>
          <w:rFonts w:asciiTheme="minorHAnsi" w:eastAsia="Arial" w:hAnsiTheme="minorHAnsi" w:cs="Arial"/>
          <w:sz w:val="24"/>
          <w:szCs w:val="24"/>
        </w:rPr>
      </w:pPr>
    </w:p>
    <w:p w14:paraId="219AF294" w14:textId="08457B32" w:rsidR="00C1504D" w:rsidRPr="00294216" w:rsidRDefault="00C1504D" w:rsidP="00C1504D">
      <w:pPr>
        <w:autoSpaceDE w:val="0"/>
        <w:autoSpaceDN w:val="0"/>
        <w:adjustRightInd w:val="0"/>
        <w:jc w:val="both"/>
        <w:rPr>
          <w:rFonts w:asciiTheme="minorHAnsi" w:hAnsiTheme="minorHAnsi" w:cs="TimesNewRomanPSMT"/>
          <w:bCs/>
          <w:sz w:val="24"/>
          <w:szCs w:val="24"/>
        </w:rPr>
      </w:pPr>
      <w:r w:rsidRPr="00CF634B">
        <w:rPr>
          <w:rFonts w:asciiTheme="minorHAnsi" w:hAnsiTheme="minorHAnsi" w:cs="Arial"/>
          <w:b/>
          <w:sz w:val="24"/>
          <w:szCs w:val="24"/>
        </w:rPr>
        <w:t xml:space="preserve">MHDO Staff Response:  </w:t>
      </w:r>
      <w:r w:rsidR="00294216">
        <w:rPr>
          <w:rFonts w:asciiTheme="minorHAnsi" w:eastAsia="Arial" w:hAnsiTheme="minorHAnsi" w:cs="Arial"/>
          <w:sz w:val="24"/>
          <w:szCs w:val="24"/>
        </w:rPr>
        <w:t>T</w:t>
      </w:r>
      <w:r w:rsidR="00294216" w:rsidRPr="00505EF7">
        <w:rPr>
          <w:rFonts w:asciiTheme="minorHAnsi" w:eastAsia="Arial" w:hAnsiTheme="minorHAnsi" w:cs="Arial"/>
          <w:sz w:val="24"/>
          <w:szCs w:val="24"/>
        </w:rPr>
        <w:t xml:space="preserve">he </w:t>
      </w:r>
      <w:r w:rsidR="00294216">
        <w:rPr>
          <w:rFonts w:asciiTheme="minorHAnsi" w:eastAsia="Arial" w:hAnsiTheme="minorHAnsi" w:cs="Arial"/>
          <w:sz w:val="24"/>
          <w:szCs w:val="24"/>
        </w:rPr>
        <w:t>c</w:t>
      </w:r>
      <w:r w:rsidR="00294216" w:rsidRPr="00505EF7">
        <w:rPr>
          <w:rFonts w:asciiTheme="minorHAnsi" w:eastAsia="Arial" w:hAnsiTheme="minorHAnsi" w:cs="Arial"/>
          <w:sz w:val="24"/>
          <w:szCs w:val="24"/>
        </w:rPr>
        <w:t>onfidentiality pro</w:t>
      </w:r>
      <w:r w:rsidR="00294216">
        <w:rPr>
          <w:rFonts w:asciiTheme="minorHAnsi" w:eastAsia="Arial" w:hAnsiTheme="minorHAnsi" w:cs="Arial"/>
          <w:sz w:val="24"/>
          <w:szCs w:val="24"/>
        </w:rPr>
        <w:t>vision</w:t>
      </w:r>
      <w:r w:rsidR="00294216" w:rsidRPr="00505EF7">
        <w:rPr>
          <w:rFonts w:asciiTheme="minorHAnsi" w:eastAsia="Arial" w:hAnsiTheme="minorHAnsi" w:cs="Arial"/>
          <w:sz w:val="24"/>
          <w:szCs w:val="24"/>
        </w:rPr>
        <w:t xml:space="preserve">s in Sec. 8.  22 MRSA c. 1683, sub-c. 3, § 8733 apply to </w:t>
      </w:r>
      <w:r w:rsidR="00294216">
        <w:rPr>
          <w:rFonts w:asciiTheme="minorHAnsi" w:eastAsia="Arial" w:hAnsiTheme="minorHAnsi" w:cs="Arial"/>
          <w:sz w:val="24"/>
          <w:szCs w:val="24"/>
        </w:rPr>
        <w:t>a</w:t>
      </w:r>
      <w:r w:rsidR="00294216">
        <w:rPr>
          <w:rFonts w:asciiTheme="minorHAnsi" w:hAnsiTheme="minorHAnsi" w:cs="Arial"/>
          <w:bCs/>
          <w:sz w:val="24"/>
          <w:szCs w:val="24"/>
        </w:rPr>
        <w:t>ll pricing component data submitted to MHDO under Rule Chapter 570.</w:t>
      </w:r>
    </w:p>
    <w:p w14:paraId="5058ED1C" w14:textId="77777777" w:rsidR="00C1504D" w:rsidRPr="00CF634B" w:rsidRDefault="00C1504D" w:rsidP="00C1504D">
      <w:pPr>
        <w:jc w:val="both"/>
        <w:rPr>
          <w:rFonts w:asciiTheme="minorHAnsi" w:hAnsiTheme="minorHAnsi" w:cs="Arial"/>
          <w:b/>
          <w:sz w:val="24"/>
          <w:szCs w:val="24"/>
        </w:rPr>
      </w:pPr>
    </w:p>
    <w:p w14:paraId="22A05D9D" w14:textId="77777777" w:rsidR="00294216" w:rsidRPr="00677A98" w:rsidRDefault="00C1504D" w:rsidP="00294216">
      <w:pPr>
        <w:jc w:val="both"/>
        <w:rPr>
          <w:rFonts w:asciiTheme="minorHAnsi" w:hAnsiTheme="minorHAnsi" w:cs="Arial"/>
          <w:bCs/>
          <w:sz w:val="24"/>
          <w:szCs w:val="24"/>
        </w:rPr>
      </w:pPr>
      <w:r w:rsidRPr="00CF634B">
        <w:rPr>
          <w:rFonts w:asciiTheme="minorHAnsi" w:hAnsiTheme="minorHAnsi" w:cs="Arial"/>
          <w:b/>
          <w:sz w:val="24"/>
          <w:szCs w:val="24"/>
        </w:rPr>
        <w:t xml:space="preserve">Recommended Board Action:  </w:t>
      </w:r>
      <w:r w:rsidR="00294216">
        <w:rPr>
          <w:rFonts w:asciiTheme="minorHAnsi" w:hAnsiTheme="minorHAnsi" w:cs="Arial"/>
          <w:bCs/>
          <w:sz w:val="24"/>
          <w:szCs w:val="24"/>
        </w:rPr>
        <w:t>No further action needed.</w:t>
      </w:r>
    </w:p>
    <w:p w14:paraId="7E8D20BD" w14:textId="7D3408D4" w:rsidR="00C1504D" w:rsidRDefault="00C1504D" w:rsidP="00C1504D">
      <w:pPr>
        <w:jc w:val="both"/>
        <w:rPr>
          <w:rFonts w:asciiTheme="minorHAnsi" w:hAnsiTheme="minorHAnsi" w:cs="Arial"/>
          <w:b/>
          <w:sz w:val="24"/>
          <w:szCs w:val="24"/>
        </w:rPr>
      </w:pPr>
    </w:p>
    <w:p w14:paraId="6B2911C0" w14:textId="77777777" w:rsidR="00C1504D" w:rsidRPr="00505EF7" w:rsidRDefault="00C1504D" w:rsidP="00505EF7">
      <w:pPr>
        <w:spacing w:before="1"/>
        <w:rPr>
          <w:rFonts w:asciiTheme="minorHAnsi" w:eastAsia="Arial" w:hAnsiTheme="minorHAnsi" w:cs="Arial"/>
          <w:sz w:val="24"/>
          <w:szCs w:val="24"/>
        </w:rPr>
      </w:pPr>
    </w:p>
    <w:p w14:paraId="7D3FFEA7" w14:textId="77777777" w:rsidR="00505EF7" w:rsidRPr="00505EF7" w:rsidRDefault="00505EF7" w:rsidP="00505EF7">
      <w:pPr>
        <w:spacing w:before="1"/>
        <w:rPr>
          <w:rFonts w:asciiTheme="minorHAnsi" w:eastAsia="Arial" w:hAnsiTheme="minorHAnsi" w:cs="Arial"/>
          <w:sz w:val="24"/>
          <w:szCs w:val="24"/>
        </w:rPr>
      </w:pPr>
      <w:r w:rsidRPr="00505EF7">
        <w:rPr>
          <w:rFonts w:asciiTheme="minorHAnsi" w:eastAsia="Arial" w:hAnsiTheme="minorHAnsi" w:cs="Arial"/>
          <w:sz w:val="24"/>
          <w:szCs w:val="24"/>
        </w:rPr>
        <w:t xml:space="preserve"> </w:t>
      </w:r>
    </w:p>
    <w:p w14:paraId="1AEF074B" w14:textId="1D1E363B" w:rsidR="00F224AC" w:rsidRDefault="00F224AC" w:rsidP="00F224AC">
      <w:pPr>
        <w:pStyle w:val="ListParagraph"/>
        <w:numPr>
          <w:ilvl w:val="0"/>
          <w:numId w:val="7"/>
        </w:numPr>
        <w:spacing w:before="1"/>
        <w:rPr>
          <w:rFonts w:asciiTheme="minorHAnsi" w:eastAsia="Arial" w:hAnsiTheme="minorHAnsi" w:cs="Arial"/>
          <w:sz w:val="24"/>
          <w:szCs w:val="24"/>
        </w:rPr>
      </w:pPr>
      <w:r>
        <w:rPr>
          <w:rFonts w:asciiTheme="minorHAnsi" w:hAnsiTheme="minorHAnsi" w:cs="Arial"/>
          <w:b/>
          <w:sz w:val="24"/>
          <w:szCs w:val="24"/>
        </w:rPr>
        <w:t>MHDO Staff submitted the following comments:</w:t>
      </w:r>
    </w:p>
    <w:p w14:paraId="46BE95E6" w14:textId="080BDB62" w:rsidR="00F224AC" w:rsidRPr="00F224AC" w:rsidRDefault="00F224AC" w:rsidP="00F224AC">
      <w:pPr>
        <w:spacing w:before="1"/>
        <w:rPr>
          <w:rFonts w:asciiTheme="minorHAnsi" w:hAnsiTheme="minorHAnsi" w:cs="Helvetica"/>
          <w:color w:val="333333"/>
          <w:sz w:val="24"/>
          <w:szCs w:val="24"/>
          <w:shd w:val="clear" w:color="auto" w:fill="FFFFFF"/>
        </w:rPr>
      </w:pPr>
      <w:r w:rsidRPr="00F224AC">
        <w:rPr>
          <w:rFonts w:asciiTheme="minorHAnsi" w:hAnsiTheme="minorHAnsi" w:cs="Arial"/>
          <w:sz w:val="24"/>
          <w:szCs w:val="24"/>
        </w:rPr>
        <w:t xml:space="preserve">It has come to my attention that in the drafting of our proposed rule changes to Rule Chapter 570, </w:t>
      </w:r>
      <w:r w:rsidRPr="00F224AC">
        <w:rPr>
          <w:rFonts w:asciiTheme="minorHAnsi" w:hAnsiTheme="minorHAnsi" w:cs="Helvetica"/>
          <w:color w:val="333333"/>
          <w:sz w:val="24"/>
          <w:szCs w:val="24"/>
          <w:shd w:val="clear" w:color="auto" w:fill="FFFFFF"/>
        </w:rPr>
        <w:t xml:space="preserve">Uniform Reporting System for Prescription Drug Price Data Sets, </w:t>
      </w:r>
      <w:r w:rsidRPr="00F224AC">
        <w:rPr>
          <w:rFonts w:asciiTheme="minorHAnsi" w:hAnsiTheme="minorHAnsi"/>
          <w:bCs/>
          <w:sz w:val="24"/>
          <w:szCs w:val="24"/>
        </w:rPr>
        <w:t xml:space="preserve">the Manufacturer Report includes two data elements </w:t>
      </w:r>
      <w:r w:rsidRPr="00F224AC">
        <w:rPr>
          <w:rFonts w:asciiTheme="minorHAnsi" w:hAnsiTheme="minorHAnsi"/>
          <w:bCs/>
          <w:i/>
          <w:sz w:val="24"/>
          <w:szCs w:val="24"/>
        </w:rPr>
        <w:t xml:space="preserve">Introduced to Market Date </w:t>
      </w:r>
      <w:r w:rsidRPr="00F224AC">
        <w:rPr>
          <w:rFonts w:asciiTheme="minorHAnsi" w:hAnsiTheme="minorHAnsi"/>
          <w:bCs/>
          <w:sz w:val="24"/>
          <w:szCs w:val="24"/>
        </w:rPr>
        <w:t xml:space="preserve">and </w:t>
      </w:r>
      <w:r w:rsidRPr="00F224AC">
        <w:rPr>
          <w:rFonts w:asciiTheme="minorHAnsi" w:hAnsiTheme="minorHAnsi"/>
          <w:bCs/>
          <w:i/>
          <w:sz w:val="24"/>
          <w:szCs w:val="24"/>
        </w:rPr>
        <w:t xml:space="preserve">WAC at Market Introduction, </w:t>
      </w:r>
      <w:r w:rsidRPr="00F224AC">
        <w:rPr>
          <w:rFonts w:asciiTheme="minorHAnsi" w:hAnsiTheme="minorHAnsi"/>
          <w:bCs/>
          <w:sz w:val="24"/>
          <w:szCs w:val="24"/>
        </w:rPr>
        <w:t>that were listed twice in the template.  These data elements should only be listed once.  Additionally, we would like to include the following revisions in the descriptions of these data elements to further clarify their definitions.  (Underline and cross outs represent the proposed revisions):</w:t>
      </w:r>
    </w:p>
    <w:p w14:paraId="188985E1" w14:textId="77777777" w:rsidR="00F224AC" w:rsidRPr="00F224AC" w:rsidRDefault="00F224AC" w:rsidP="00F224AC">
      <w:pPr>
        <w:rPr>
          <w:rFonts w:asciiTheme="minorHAnsi" w:hAnsiTheme="minorHAnsi" w:cstheme="minorBidi"/>
          <w:bCs/>
          <w:sz w:val="24"/>
          <w:szCs w:val="24"/>
        </w:rPr>
      </w:pPr>
    </w:p>
    <w:p w14:paraId="6EE1BCBC" w14:textId="2DD43257" w:rsidR="00F224AC" w:rsidRPr="00F224AC" w:rsidRDefault="00F224AC" w:rsidP="00F224AC">
      <w:pPr>
        <w:rPr>
          <w:rFonts w:asciiTheme="minorHAnsi" w:hAnsiTheme="minorHAnsi"/>
          <w:bCs/>
          <w:sz w:val="24"/>
          <w:szCs w:val="24"/>
        </w:rPr>
      </w:pPr>
      <w:r w:rsidRPr="00F224AC">
        <w:rPr>
          <w:rFonts w:asciiTheme="minorHAnsi" w:hAnsiTheme="minorHAnsi"/>
          <w:bCs/>
          <w:sz w:val="24"/>
          <w:szCs w:val="24"/>
        </w:rPr>
        <w:t xml:space="preserve">Introduced to Market Date – If the drug product was </w:t>
      </w:r>
      <w:r w:rsidRPr="00B1649D">
        <w:rPr>
          <w:rFonts w:asciiTheme="minorHAnsi" w:hAnsiTheme="minorHAnsi"/>
          <w:bCs/>
          <w:sz w:val="24"/>
          <w:szCs w:val="24"/>
          <w:u w:val="single"/>
        </w:rPr>
        <w:t>introduced to market</w:t>
      </w:r>
      <w:r w:rsidRPr="00F224AC">
        <w:rPr>
          <w:rFonts w:asciiTheme="minorHAnsi" w:hAnsiTheme="minorHAnsi"/>
          <w:bCs/>
          <w:sz w:val="24"/>
          <w:szCs w:val="24"/>
        </w:rPr>
        <w:t xml:space="preserve"> </w:t>
      </w:r>
      <w:r w:rsidR="00B1649D">
        <w:rPr>
          <w:rFonts w:asciiTheme="minorHAnsi" w:hAnsiTheme="minorHAnsi"/>
          <w:bCs/>
          <w:sz w:val="24"/>
          <w:szCs w:val="24"/>
        </w:rPr>
        <w:t>within</w:t>
      </w:r>
      <w:r w:rsidRPr="00F224AC">
        <w:rPr>
          <w:rFonts w:asciiTheme="minorHAnsi" w:hAnsiTheme="minorHAnsi"/>
          <w:bCs/>
          <w:sz w:val="24"/>
          <w:szCs w:val="24"/>
        </w:rPr>
        <w:t xml:space="preserve"> the previous </w:t>
      </w:r>
      <w:r w:rsidRPr="00B1649D">
        <w:rPr>
          <w:rFonts w:asciiTheme="minorHAnsi" w:hAnsiTheme="minorHAnsi"/>
          <w:bCs/>
          <w:sz w:val="24"/>
          <w:szCs w:val="24"/>
          <w:u w:val="single"/>
        </w:rPr>
        <w:t>calendar year</w:t>
      </w:r>
      <w:r w:rsidRPr="00F224AC">
        <w:rPr>
          <w:rFonts w:asciiTheme="minorHAnsi" w:hAnsiTheme="minorHAnsi"/>
          <w:bCs/>
          <w:sz w:val="24"/>
          <w:szCs w:val="24"/>
        </w:rPr>
        <w:t xml:space="preserve"> </w:t>
      </w:r>
      <w:r w:rsidRPr="00F224AC">
        <w:rPr>
          <w:rFonts w:asciiTheme="minorHAnsi" w:hAnsiTheme="minorHAnsi"/>
          <w:bCs/>
          <w:sz w:val="24"/>
          <w:szCs w:val="24"/>
          <w:u w:val="single"/>
        </w:rPr>
        <w:t xml:space="preserve">or </w:t>
      </w:r>
      <w:r w:rsidRPr="006012FE">
        <w:rPr>
          <w:rFonts w:asciiTheme="minorHAnsi" w:hAnsiTheme="minorHAnsi"/>
          <w:bCs/>
          <w:sz w:val="24"/>
          <w:szCs w:val="24"/>
        </w:rPr>
        <w:t>acquired by the manufacturer within the previous</w:t>
      </w:r>
      <w:r w:rsidR="006012FE">
        <w:rPr>
          <w:rFonts w:asciiTheme="minorHAnsi" w:hAnsiTheme="minorHAnsi"/>
          <w:bCs/>
          <w:sz w:val="24"/>
          <w:szCs w:val="24"/>
          <w:u w:val="single"/>
        </w:rPr>
        <w:t xml:space="preserve"> </w:t>
      </w:r>
      <w:r w:rsidRPr="00B1649D">
        <w:rPr>
          <w:rFonts w:asciiTheme="minorHAnsi" w:hAnsiTheme="minorHAnsi"/>
          <w:bCs/>
          <w:sz w:val="24"/>
          <w:szCs w:val="24"/>
        </w:rPr>
        <w:t>five years</w:t>
      </w:r>
      <w:r w:rsidRPr="00F224AC">
        <w:rPr>
          <w:rFonts w:asciiTheme="minorHAnsi" w:hAnsiTheme="minorHAnsi"/>
          <w:bCs/>
          <w:sz w:val="24"/>
          <w:szCs w:val="24"/>
        </w:rPr>
        <w:t>, the date the drug product was introduced to market.  If not, leave blank.</w:t>
      </w:r>
    </w:p>
    <w:p w14:paraId="65127ABF" w14:textId="77777777" w:rsidR="00F224AC" w:rsidRPr="00F224AC" w:rsidRDefault="00F224AC" w:rsidP="00F224AC">
      <w:pPr>
        <w:rPr>
          <w:rFonts w:asciiTheme="minorHAnsi" w:hAnsiTheme="minorHAnsi"/>
          <w:bCs/>
          <w:sz w:val="24"/>
          <w:szCs w:val="24"/>
        </w:rPr>
      </w:pPr>
    </w:p>
    <w:p w14:paraId="0983A748" w14:textId="4364F106" w:rsidR="00F224AC" w:rsidRPr="006012FE" w:rsidRDefault="00F224AC" w:rsidP="00F224AC">
      <w:pPr>
        <w:rPr>
          <w:rFonts w:asciiTheme="minorHAnsi" w:hAnsiTheme="minorHAnsi"/>
          <w:sz w:val="24"/>
          <w:szCs w:val="24"/>
        </w:rPr>
      </w:pPr>
      <w:r w:rsidRPr="00F224AC">
        <w:rPr>
          <w:rFonts w:asciiTheme="minorHAnsi" w:hAnsiTheme="minorHAnsi"/>
          <w:sz w:val="24"/>
          <w:szCs w:val="24"/>
        </w:rPr>
        <w:t xml:space="preserve">WAC at </w:t>
      </w:r>
      <w:r w:rsidRPr="00F224AC">
        <w:rPr>
          <w:rFonts w:asciiTheme="minorHAnsi" w:hAnsiTheme="minorHAnsi"/>
          <w:strike/>
          <w:sz w:val="24"/>
          <w:szCs w:val="24"/>
        </w:rPr>
        <w:t>Introduction to</w:t>
      </w:r>
      <w:r w:rsidRPr="00F224AC">
        <w:rPr>
          <w:rFonts w:asciiTheme="minorHAnsi" w:hAnsiTheme="minorHAnsi"/>
          <w:sz w:val="24"/>
          <w:szCs w:val="24"/>
        </w:rPr>
        <w:t xml:space="preserve"> Market</w:t>
      </w:r>
      <w:r w:rsidRPr="00F224AC">
        <w:rPr>
          <w:rFonts w:asciiTheme="minorHAnsi" w:hAnsiTheme="minorHAnsi"/>
          <w:bCs/>
          <w:sz w:val="24"/>
          <w:szCs w:val="24"/>
        </w:rPr>
        <w:t xml:space="preserve"> Introduction –</w:t>
      </w:r>
      <w:r w:rsidRPr="00F224AC">
        <w:rPr>
          <w:rFonts w:asciiTheme="minorHAnsi" w:hAnsiTheme="minorHAnsi"/>
          <w:sz w:val="24"/>
          <w:szCs w:val="24"/>
        </w:rPr>
        <w:t xml:space="preserve">If the drug product was </w:t>
      </w:r>
      <w:r w:rsidRPr="00F224AC">
        <w:rPr>
          <w:rFonts w:asciiTheme="minorHAnsi" w:hAnsiTheme="minorHAnsi"/>
          <w:bCs/>
          <w:sz w:val="24"/>
          <w:szCs w:val="24"/>
          <w:u w:val="single"/>
        </w:rPr>
        <w:t>introduced to market during the previous calendar year</w:t>
      </w:r>
      <w:r w:rsidRPr="00F224AC">
        <w:rPr>
          <w:rFonts w:asciiTheme="minorHAnsi" w:hAnsiTheme="minorHAnsi"/>
          <w:sz w:val="24"/>
          <w:szCs w:val="24"/>
        </w:rPr>
        <w:t xml:space="preserve"> </w:t>
      </w:r>
      <w:r w:rsidRPr="00F224AC">
        <w:rPr>
          <w:rFonts w:asciiTheme="minorHAnsi" w:hAnsiTheme="minorHAnsi"/>
          <w:sz w:val="24"/>
          <w:szCs w:val="24"/>
          <w:u w:val="single"/>
        </w:rPr>
        <w:t xml:space="preserve">or </w:t>
      </w:r>
      <w:r w:rsidRPr="00F224AC">
        <w:rPr>
          <w:rFonts w:asciiTheme="minorHAnsi" w:hAnsiTheme="minorHAnsi"/>
          <w:sz w:val="24"/>
          <w:szCs w:val="24"/>
        </w:rPr>
        <w:t xml:space="preserve">acquired by the manufacturer within the previous five years, the wholesale acquisition cost of the drug product when it was introduced to market. </w:t>
      </w:r>
      <w:r w:rsidRPr="006012FE">
        <w:rPr>
          <w:rFonts w:asciiTheme="minorHAnsi" w:hAnsiTheme="minorHAnsi"/>
          <w:sz w:val="24"/>
          <w:szCs w:val="24"/>
        </w:rPr>
        <w:t>If not, leave blank.</w:t>
      </w:r>
    </w:p>
    <w:p w14:paraId="127F5BC8" w14:textId="4ECD27C2" w:rsidR="00F224AC" w:rsidRDefault="00F224AC" w:rsidP="00F224AC">
      <w:pPr>
        <w:rPr>
          <w:rFonts w:asciiTheme="minorHAnsi" w:hAnsiTheme="minorHAnsi"/>
          <w:sz w:val="24"/>
          <w:szCs w:val="24"/>
        </w:rPr>
      </w:pPr>
    </w:p>
    <w:p w14:paraId="52ED8932" w14:textId="0323B38F" w:rsidR="00F224AC" w:rsidRDefault="00F224AC" w:rsidP="00F224AC">
      <w:pPr>
        <w:rPr>
          <w:rFonts w:asciiTheme="minorHAnsi" w:hAnsiTheme="minorHAnsi"/>
          <w:sz w:val="24"/>
          <w:szCs w:val="24"/>
        </w:rPr>
      </w:pPr>
      <w:r w:rsidRPr="006E7ED4">
        <w:rPr>
          <w:rFonts w:asciiTheme="minorHAnsi" w:hAnsiTheme="minorHAnsi"/>
          <w:b/>
          <w:sz w:val="24"/>
          <w:szCs w:val="24"/>
        </w:rPr>
        <w:t>MHDO Staff Response</w:t>
      </w:r>
      <w:r>
        <w:rPr>
          <w:rFonts w:asciiTheme="minorHAnsi" w:hAnsiTheme="minorHAnsi"/>
          <w:sz w:val="24"/>
          <w:szCs w:val="24"/>
        </w:rPr>
        <w:t>:  Delete the data element</w:t>
      </w:r>
      <w:r w:rsidR="006E7ED4">
        <w:rPr>
          <w:rFonts w:asciiTheme="minorHAnsi" w:hAnsiTheme="minorHAnsi"/>
          <w:sz w:val="24"/>
          <w:szCs w:val="24"/>
        </w:rPr>
        <w:t>s</w:t>
      </w:r>
      <w:r>
        <w:rPr>
          <w:rFonts w:asciiTheme="minorHAnsi" w:hAnsiTheme="minorHAnsi"/>
          <w:sz w:val="24"/>
          <w:szCs w:val="24"/>
        </w:rPr>
        <w:t xml:space="preserve"> name</w:t>
      </w:r>
      <w:r w:rsidR="006E7ED4">
        <w:rPr>
          <w:rFonts w:asciiTheme="minorHAnsi" w:hAnsiTheme="minorHAnsi"/>
          <w:sz w:val="24"/>
          <w:szCs w:val="24"/>
        </w:rPr>
        <w:t xml:space="preserve"> and description for</w:t>
      </w:r>
      <w:r>
        <w:rPr>
          <w:rFonts w:asciiTheme="minorHAnsi" w:hAnsiTheme="minorHAnsi"/>
          <w:sz w:val="24"/>
          <w:szCs w:val="24"/>
        </w:rPr>
        <w:t xml:space="preserve">, Introduced to Market Date </w:t>
      </w:r>
      <w:r w:rsidR="006E7ED4">
        <w:rPr>
          <w:rFonts w:asciiTheme="minorHAnsi" w:hAnsiTheme="minorHAnsi"/>
          <w:sz w:val="24"/>
          <w:szCs w:val="24"/>
        </w:rPr>
        <w:t>and WAC at Market Introduction (page 7).  Revise the description for Introduced to Market Date and WAC at Market Introduction page 8</w:t>
      </w:r>
      <w:r w:rsidR="00580FEF">
        <w:rPr>
          <w:rFonts w:asciiTheme="minorHAnsi" w:hAnsiTheme="minorHAnsi"/>
          <w:sz w:val="24"/>
          <w:szCs w:val="24"/>
        </w:rPr>
        <w:t xml:space="preserve"> and 9 as described above.</w:t>
      </w:r>
    </w:p>
    <w:p w14:paraId="0BAC2582" w14:textId="4E48919E" w:rsidR="00580FEF" w:rsidRDefault="00580FEF" w:rsidP="00F224AC">
      <w:pPr>
        <w:rPr>
          <w:rFonts w:asciiTheme="minorHAnsi" w:hAnsiTheme="minorHAnsi"/>
          <w:sz w:val="24"/>
          <w:szCs w:val="24"/>
        </w:rPr>
      </w:pPr>
    </w:p>
    <w:p w14:paraId="1E2E84C8" w14:textId="686D7ED1" w:rsidR="00580FEF" w:rsidRPr="00F224AC" w:rsidRDefault="00580FEF" w:rsidP="00580FEF">
      <w:pPr>
        <w:rPr>
          <w:rFonts w:asciiTheme="minorHAnsi" w:hAnsiTheme="minorHAnsi"/>
          <w:bCs/>
          <w:sz w:val="24"/>
          <w:szCs w:val="24"/>
        </w:rPr>
      </w:pPr>
      <w:bookmarkStart w:id="2" w:name="_Hlk52362066"/>
      <w:r w:rsidRPr="00F224AC">
        <w:rPr>
          <w:rFonts w:asciiTheme="minorHAnsi" w:hAnsiTheme="minorHAnsi"/>
          <w:bCs/>
          <w:sz w:val="24"/>
          <w:szCs w:val="24"/>
        </w:rPr>
        <w:t xml:space="preserve">Introduced to Market Date – If the drug product was </w:t>
      </w:r>
      <w:r w:rsidRPr="00B1649D">
        <w:rPr>
          <w:rFonts w:asciiTheme="minorHAnsi" w:hAnsiTheme="minorHAnsi"/>
          <w:bCs/>
          <w:sz w:val="24"/>
          <w:szCs w:val="24"/>
          <w:u w:val="single"/>
        </w:rPr>
        <w:t>introduced to market</w:t>
      </w:r>
      <w:r w:rsidR="006012FE">
        <w:rPr>
          <w:rFonts w:asciiTheme="minorHAnsi" w:hAnsiTheme="minorHAnsi"/>
          <w:bCs/>
          <w:sz w:val="24"/>
          <w:szCs w:val="24"/>
        </w:rPr>
        <w:t xml:space="preserve"> within</w:t>
      </w:r>
      <w:r w:rsidRPr="006012FE">
        <w:rPr>
          <w:rFonts w:asciiTheme="minorHAnsi" w:hAnsiTheme="minorHAnsi"/>
          <w:bCs/>
          <w:sz w:val="24"/>
          <w:szCs w:val="24"/>
        </w:rPr>
        <w:t xml:space="preserve"> the previous</w:t>
      </w:r>
      <w:r w:rsidRPr="006012FE">
        <w:rPr>
          <w:rFonts w:asciiTheme="minorHAnsi" w:hAnsiTheme="minorHAnsi"/>
          <w:bCs/>
          <w:sz w:val="24"/>
          <w:szCs w:val="24"/>
          <w:u w:val="single"/>
        </w:rPr>
        <w:t xml:space="preserve"> calendar year</w:t>
      </w:r>
      <w:r w:rsidRPr="00F224AC">
        <w:rPr>
          <w:rFonts w:asciiTheme="minorHAnsi" w:hAnsiTheme="minorHAnsi"/>
          <w:bCs/>
          <w:sz w:val="24"/>
          <w:szCs w:val="24"/>
        </w:rPr>
        <w:t xml:space="preserve"> </w:t>
      </w:r>
      <w:r w:rsidRPr="00F224AC">
        <w:rPr>
          <w:rFonts w:asciiTheme="minorHAnsi" w:hAnsiTheme="minorHAnsi"/>
          <w:bCs/>
          <w:sz w:val="24"/>
          <w:szCs w:val="24"/>
          <w:u w:val="single"/>
        </w:rPr>
        <w:t xml:space="preserve">or </w:t>
      </w:r>
      <w:r w:rsidRPr="006012FE">
        <w:rPr>
          <w:rFonts w:asciiTheme="minorHAnsi" w:hAnsiTheme="minorHAnsi"/>
          <w:bCs/>
          <w:sz w:val="24"/>
          <w:szCs w:val="24"/>
        </w:rPr>
        <w:t>acquired by the manufacturer within the previous five years</w:t>
      </w:r>
      <w:r w:rsidRPr="00F224AC">
        <w:rPr>
          <w:rFonts w:asciiTheme="minorHAnsi" w:hAnsiTheme="minorHAnsi"/>
          <w:bCs/>
          <w:sz w:val="24"/>
          <w:szCs w:val="24"/>
        </w:rPr>
        <w:t>, the date the drug product was introduced to market.  If not, leave blank.</w:t>
      </w:r>
    </w:p>
    <w:p w14:paraId="79A8C1B2" w14:textId="77777777" w:rsidR="00580FEF" w:rsidRPr="00F224AC" w:rsidRDefault="00580FEF" w:rsidP="00580FEF">
      <w:pPr>
        <w:rPr>
          <w:rFonts w:asciiTheme="minorHAnsi" w:hAnsiTheme="minorHAnsi"/>
          <w:bCs/>
          <w:sz w:val="24"/>
          <w:szCs w:val="24"/>
        </w:rPr>
      </w:pPr>
    </w:p>
    <w:p w14:paraId="5A1BD016" w14:textId="77777777" w:rsidR="00580FEF" w:rsidRDefault="00580FEF" w:rsidP="00580FEF">
      <w:pPr>
        <w:rPr>
          <w:rFonts w:asciiTheme="minorHAnsi" w:hAnsiTheme="minorHAnsi"/>
          <w:sz w:val="24"/>
          <w:szCs w:val="24"/>
        </w:rPr>
      </w:pPr>
      <w:r w:rsidRPr="00F224AC">
        <w:rPr>
          <w:rFonts w:asciiTheme="minorHAnsi" w:hAnsiTheme="minorHAnsi"/>
          <w:sz w:val="24"/>
          <w:szCs w:val="24"/>
        </w:rPr>
        <w:t xml:space="preserve">WAC at </w:t>
      </w:r>
      <w:r w:rsidRPr="00F224AC">
        <w:rPr>
          <w:rFonts w:asciiTheme="minorHAnsi" w:hAnsiTheme="minorHAnsi"/>
          <w:strike/>
          <w:sz w:val="24"/>
          <w:szCs w:val="24"/>
        </w:rPr>
        <w:t>Introduction to</w:t>
      </w:r>
      <w:r w:rsidRPr="00F224AC">
        <w:rPr>
          <w:rFonts w:asciiTheme="minorHAnsi" w:hAnsiTheme="minorHAnsi"/>
          <w:sz w:val="24"/>
          <w:szCs w:val="24"/>
        </w:rPr>
        <w:t xml:space="preserve"> Market</w:t>
      </w:r>
      <w:r w:rsidRPr="00F224AC">
        <w:rPr>
          <w:rFonts w:asciiTheme="minorHAnsi" w:hAnsiTheme="minorHAnsi"/>
          <w:bCs/>
          <w:sz w:val="24"/>
          <w:szCs w:val="24"/>
        </w:rPr>
        <w:t xml:space="preserve"> Introduction –</w:t>
      </w:r>
      <w:r w:rsidRPr="00F224AC">
        <w:rPr>
          <w:rFonts w:asciiTheme="minorHAnsi" w:hAnsiTheme="minorHAnsi"/>
          <w:sz w:val="24"/>
          <w:szCs w:val="24"/>
        </w:rPr>
        <w:t xml:space="preserve">If the drug product was </w:t>
      </w:r>
      <w:r w:rsidRPr="00F224AC">
        <w:rPr>
          <w:rFonts w:asciiTheme="minorHAnsi" w:hAnsiTheme="minorHAnsi"/>
          <w:bCs/>
          <w:sz w:val="24"/>
          <w:szCs w:val="24"/>
          <w:u w:val="single"/>
        </w:rPr>
        <w:t>introduced to market during the previous calendar year</w:t>
      </w:r>
      <w:r w:rsidRPr="00F224AC">
        <w:rPr>
          <w:rFonts w:asciiTheme="minorHAnsi" w:hAnsiTheme="minorHAnsi"/>
          <w:sz w:val="24"/>
          <w:szCs w:val="24"/>
        </w:rPr>
        <w:t xml:space="preserve"> </w:t>
      </w:r>
      <w:r w:rsidRPr="00F224AC">
        <w:rPr>
          <w:rFonts w:asciiTheme="minorHAnsi" w:hAnsiTheme="minorHAnsi"/>
          <w:sz w:val="24"/>
          <w:szCs w:val="24"/>
          <w:u w:val="single"/>
        </w:rPr>
        <w:t xml:space="preserve">or </w:t>
      </w:r>
      <w:r w:rsidRPr="00F224AC">
        <w:rPr>
          <w:rFonts w:asciiTheme="minorHAnsi" w:hAnsiTheme="minorHAnsi"/>
          <w:sz w:val="24"/>
          <w:szCs w:val="24"/>
        </w:rPr>
        <w:t>acquired by the manufacturer within the previous five years, the wholesale acquisition cost of the drug product when it was introduced to market. If not, leave blank.</w:t>
      </w:r>
    </w:p>
    <w:bookmarkEnd w:id="2"/>
    <w:p w14:paraId="0B4531A4" w14:textId="5E9BB032" w:rsidR="00580FEF" w:rsidRDefault="00580FEF" w:rsidP="00F224AC">
      <w:pPr>
        <w:rPr>
          <w:rFonts w:asciiTheme="minorHAnsi" w:hAnsiTheme="minorHAnsi"/>
          <w:sz w:val="24"/>
          <w:szCs w:val="24"/>
        </w:rPr>
      </w:pPr>
    </w:p>
    <w:p w14:paraId="05572573" w14:textId="77777777" w:rsidR="00F224AC" w:rsidRDefault="00F224AC" w:rsidP="00F224AC">
      <w:pPr>
        <w:rPr>
          <w:rFonts w:asciiTheme="minorHAnsi" w:hAnsiTheme="minorHAnsi"/>
          <w:sz w:val="24"/>
          <w:szCs w:val="24"/>
        </w:rPr>
      </w:pPr>
    </w:p>
    <w:p w14:paraId="2F7B257A" w14:textId="50B0E972" w:rsidR="00F224AC" w:rsidRPr="00580FEF" w:rsidRDefault="00F224AC" w:rsidP="00F224AC">
      <w:pPr>
        <w:rPr>
          <w:rFonts w:asciiTheme="minorHAnsi" w:hAnsiTheme="minorHAnsi"/>
          <w:sz w:val="24"/>
          <w:szCs w:val="24"/>
        </w:rPr>
      </w:pPr>
      <w:r w:rsidRPr="006E7ED4">
        <w:rPr>
          <w:rFonts w:asciiTheme="minorHAnsi" w:hAnsiTheme="minorHAnsi"/>
          <w:b/>
          <w:sz w:val="24"/>
          <w:szCs w:val="24"/>
        </w:rPr>
        <w:t>Recommended Board Action:</w:t>
      </w:r>
      <w:r w:rsidR="00580FEF">
        <w:rPr>
          <w:rFonts w:asciiTheme="minorHAnsi" w:hAnsiTheme="minorHAnsi"/>
          <w:b/>
          <w:sz w:val="24"/>
          <w:szCs w:val="24"/>
        </w:rPr>
        <w:t xml:space="preserve">  </w:t>
      </w:r>
      <w:r w:rsidR="00580FEF">
        <w:rPr>
          <w:rFonts w:asciiTheme="minorHAnsi" w:hAnsiTheme="minorHAnsi"/>
          <w:sz w:val="24"/>
          <w:szCs w:val="24"/>
        </w:rPr>
        <w:t>Revise the Manufacturer Report as described above.</w:t>
      </w:r>
    </w:p>
    <w:sectPr w:rsidR="00F224AC" w:rsidRPr="00580FEF" w:rsidSect="00D76FC6">
      <w:footerReference w:type="even" r:id="rId13"/>
      <w:footerReference w:type="default" r:id="rId14"/>
      <w:headerReference w:type="first" r:id="rId15"/>
      <w:footerReference w:type="first" r:id="rId16"/>
      <w:pgSz w:w="12240" w:h="15840" w:code="1"/>
      <w:pgMar w:top="1440" w:right="1296" w:bottom="108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D3F7" w14:textId="77777777" w:rsidR="0095768D" w:rsidRDefault="0095768D">
      <w:r>
        <w:separator/>
      </w:r>
    </w:p>
  </w:endnote>
  <w:endnote w:type="continuationSeparator" w:id="0">
    <w:p w14:paraId="04744B8E" w14:textId="77777777" w:rsidR="0095768D" w:rsidRDefault="0095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692D4" w14:textId="77777777" w:rsidR="003963BB" w:rsidRDefault="00396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CB9CA3" w14:textId="77777777" w:rsidR="003963BB" w:rsidRDefault="003963BB">
    <w:pPr>
      <w:pStyle w:val="Footer"/>
      <w:ind w:right="360"/>
    </w:pPr>
  </w:p>
  <w:p w14:paraId="61759CDE" w14:textId="77777777" w:rsidR="003963BB" w:rsidRDefault="003963BB"/>
  <w:p w14:paraId="7B50B680" w14:textId="77777777" w:rsidR="003963BB" w:rsidRDefault="003963BB"/>
  <w:p w14:paraId="20354399" w14:textId="77777777" w:rsidR="003963BB" w:rsidRDefault="003963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08389"/>
      <w:docPartObj>
        <w:docPartGallery w:val="Page Numbers (Bottom of Page)"/>
        <w:docPartUnique/>
      </w:docPartObj>
    </w:sdtPr>
    <w:sdtEndPr>
      <w:rPr>
        <w:noProof/>
      </w:rPr>
    </w:sdtEndPr>
    <w:sdtContent>
      <w:p w14:paraId="3FA0C469" w14:textId="77777777" w:rsidR="00252090" w:rsidRDefault="00252090" w:rsidP="00252090"/>
      <w:p w14:paraId="1CB799F4" w14:textId="77777777" w:rsidR="00252090" w:rsidRDefault="00252090" w:rsidP="00252090"/>
      <w:p w14:paraId="11304A9B" w14:textId="797BB865" w:rsidR="00252090" w:rsidRPr="00252090" w:rsidRDefault="00252090" w:rsidP="00252090">
        <w:pPr>
          <w:rPr>
            <w:rFonts w:asciiTheme="minorHAnsi" w:hAnsiTheme="minorHAnsi"/>
            <w:szCs w:val="22"/>
          </w:rPr>
        </w:pPr>
        <w:r w:rsidRPr="00252090">
          <w:rPr>
            <w:rFonts w:asciiTheme="minorHAnsi" w:hAnsiTheme="minorHAnsi"/>
            <w:szCs w:val="22"/>
          </w:rPr>
          <w:t>Proposed Responses to Written Comment</w:t>
        </w:r>
        <w:r w:rsidR="00612E71">
          <w:rPr>
            <w:rFonts w:asciiTheme="minorHAnsi" w:hAnsiTheme="minorHAnsi"/>
            <w:szCs w:val="22"/>
          </w:rPr>
          <w:t>s-</w:t>
        </w:r>
        <w:r w:rsidRPr="00252090">
          <w:rPr>
            <w:rFonts w:asciiTheme="minorHAnsi" w:hAnsiTheme="minorHAnsi"/>
            <w:szCs w:val="22"/>
          </w:rPr>
          <w:t xml:space="preserve"> Rule Chapter 570.  Discussed with MHDO Board 10/1/2020</w:t>
        </w:r>
        <w:r w:rsidR="00264D2A">
          <w:rPr>
            <w:rFonts w:asciiTheme="minorHAnsi" w:hAnsiTheme="minorHAnsi"/>
            <w:szCs w:val="22"/>
          </w:rPr>
          <w:t>.</w:t>
        </w:r>
      </w:p>
      <w:p w14:paraId="3A5300EF" w14:textId="5720C242" w:rsidR="00252090" w:rsidRDefault="00252090">
        <w:pPr>
          <w:pStyle w:val="Footer"/>
          <w:jc w:val="right"/>
        </w:pPr>
        <w:r>
          <w:fldChar w:fldCharType="begin"/>
        </w:r>
        <w:r>
          <w:instrText xml:space="preserve"> PAGE   \* MERGEFORMAT </w:instrText>
        </w:r>
        <w:r>
          <w:fldChar w:fldCharType="separate"/>
        </w:r>
        <w:r w:rsidR="00F61E02">
          <w:rPr>
            <w:noProof/>
          </w:rPr>
          <w:t>17</w:t>
        </w:r>
        <w:r>
          <w:rPr>
            <w:noProof/>
          </w:rPr>
          <w:fldChar w:fldCharType="end"/>
        </w:r>
      </w:p>
    </w:sdtContent>
  </w:sdt>
  <w:p w14:paraId="29FF6EB3" w14:textId="2A7A8BD4" w:rsidR="003963BB" w:rsidRPr="000E7B47" w:rsidRDefault="003963BB" w:rsidP="000E7B47">
    <w:pPr>
      <w:pStyle w:val="Footer"/>
      <w:jc w:val="right"/>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9A9A" w14:textId="55C83B73" w:rsidR="00D76FC6" w:rsidRPr="00D76FC6" w:rsidRDefault="00D76FC6" w:rsidP="00D76FC6">
    <w:pPr>
      <w:rPr>
        <w:rFonts w:ascii="Calibri" w:hAnsi="Calibri"/>
        <w:sz w:val="20"/>
      </w:rPr>
    </w:pPr>
    <w:r w:rsidRPr="00D76FC6">
      <w:rPr>
        <w:sz w:val="20"/>
      </w:rPr>
      <w:t>Proposed Responses to Written Comment Rule Chapter 570.  Discussed with MHDO Board 10/1/20</w:t>
    </w:r>
    <w:r>
      <w:rPr>
        <w:sz w:val="20"/>
      </w:rPr>
      <w:t>20</w:t>
    </w:r>
  </w:p>
  <w:p w14:paraId="4588FD4D" w14:textId="16F31E99" w:rsidR="00D76FC6" w:rsidRDefault="00D76FC6">
    <w:pPr>
      <w:pStyle w:val="Footer"/>
    </w:pPr>
  </w:p>
  <w:p w14:paraId="42EE2833" w14:textId="77777777" w:rsidR="00D76FC6" w:rsidRDefault="00D7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FA3A" w14:textId="77777777" w:rsidR="0095768D" w:rsidRDefault="0095768D">
      <w:r>
        <w:separator/>
      </w:r>
    </w:p>
  </w:footnote>
  <w:footnote w:type="continuationSeparator" w:id="0">
    <w:p w14:paraId="40FB7F73" w14:textId="77777777" w:rsidR="0095768D" w:rsidRDefault="0095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D233" w14:textId="3E64ECCC" w:rsidR="003963BB" w:rsidRDefault="003963BB" w:rsidP="00734A65">
    <w:pPr>
      <w:pStyle w:val="Header"/>
      <w:tabs>
        <w:tab w:val="clear" w:pos="4320"/>
        <w:tab w:val="clear" w:pos="8640"/>
        <w:tab w:val="left" w:pos="3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2C7"/>
    <w:multiLevelType w:val="hybridMultilevel"/>
    <w:tmpl w:val="E7F66766"/>
    <w:lvl w:ilvl="0" w:tplc="6638C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6827DE"/>
    <w:multiLevelType w:val="hybridMultilevel"/>
    <w:tmpl w:val="3F04E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C36BA"/>
    <w:multiLevelType w:val="hybridMultilevel"/>
    <w:tmpl w:val="F872B458"/>
    <w:lvl w:ilvl="0" w:tplc="25C44B90">
      <w:start w:val="1"/>
      <w:numFmt w:val="decimal"/>
      <w:pStyle w:val="Rule-Sub-Section"/>
      <w:lvlText w:val="%1."/>
      <w:lvlJc w:val="left"/>
      <w:pPr>
        <w:ind w:left="63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43687"/>
    <w:multiLevelType w:val="hybridMultilevel"/>
    <w:tmpl w:val="0EBE0E70"/>
    <w:lvl w:ilvl="0" w:tplc="52A63EDC">
      <w:start w:val="1"/>
      <w:numFmt w:val="decimal"/>
      <w:pStyle w:val="Rule-Section"/>
      <w:lvlText w:val="SECTION %1."/>
      <w:lvlJc w:val="left"/>
      <w:pPr>
        <w:ind w:left="990" w:hanging="360"/>
      </w:pPr>
      <w:rPr>
        <w:rFonts w:hint="default"/>
      </w:rPr>
    </w:lvl>
    <w:lvl w:ilvl="1" w:tplc="04090019" w:tentative="1">
      <w:start w:val="1"/>
      <w:numFmt w:val="lowerLetter"/>
      <w:lvlText w:val="%2."/>
      <w:lvlJc w:val="left"/>
      <w:pPr>
        <w:ind w:left="-336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1926" w:hanging="360"/>
      </w:pPr>
    </w:lvl>
    <w:lvl w:ilvl="4" w:tplc="04090019" w:tentative="1">
      <w:start w:val="1"/>
      <w:numFmt w:val="lowerLetter"/>
      <w:lvlText w:val="%5."/>
      <w:lvlJc w:val="left"/>
      <w:pPr>
        <w:ind w:left="-1206" w:hanging="360"/>
      </w:pPr>
    </w:lvl>
    <w:lvl w:ilvl="5" w:tplc="0409001B" w:tentative="1">
      <w:start w:val="1"/>
      <w:numFmt w:val="lowerRoman"/>
      <w:lvlText w:val="%6."/>
      <w:lvlJc w:val="right"/>
      <w:pPr>
        <w:ind w:left="-486" w:hanging="180"/>
      </w:pPr>
    </w:lvl>
    <w:lvl w:ilvl="6" w:tplc="0409000F" w:tentative="1">
      <w:start w:val="1"/>
      <w:numFmt w:val="decimal"/>
      <w:lvlText w:val="%7."/>
      <w:lvlJc w:val="left"/>
      <w:pPr>
        <w:ind w:left="234" w:hanging="360"/>
      </w:pPr>
    </w:lvl>
    <w:lvl w:ilvl="7" w:tplc="04090019" w:tentative="1">
      <w:start w:val="1"/>
      <w:numFmt w:val="lowerLetter"/>
      <w:lvlText w:val="%8."/>
      <w:lvlJc w:val="left"/>
      <w:pPr>
        <w:ind w:left="954" w:hanging="360"/>
      </w:pPr>
    </w:lvl>
    <w:lvl w:ilvl="8" w:tplc="0409001B" w:tentative="1">
      <w:start w:val="1"/>
      <w:numFmt w:val="lowerRoman"/>
      <w:lvlText w:val="%9."/>
      <w:lvlJc w:val="right"/>
      <w:pPr>
        <w:ind w:left="1674" w:hanging="180"/>
      </w:pPr>
    </w:lvl>
  </w:abstractNum>
  <w:abstractNum w:abstractNumId="5" w15:restartNumberingAfterBreak="0">
    <w:nsid w:val="115109EE"/>
    <w:multiLevelType w:val="hybridMultilevel"/>
    <w:tmpl w:val="A1F6D49A"/>
    <w:lvl w:ilvl="0" w:tplc="460A45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5283F"/>
    <w:multiLevelType w:val="hybridMultilevel"/>
    <w:tmpl w:val="604A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B0B98"/>
    <w:multiLevelType w:val="hybridMultilevel"/>
    <w:tmpl w:val="AE602A9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4BF5341B"/>
    <w:multiLevelType w:val="hybridMultilevel"/>
    <w:tmpl w:val="11E4B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5"/>
  </w:num>
  <w:num w:numId="6">
    <w:abstractNumId w:val="1"/>
  </w:num>
  <w:num w:numId="7">
    <w:abstractNumId w:val="0"/>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9F"/>
    <w:rsid w:val="00000F59"/>
    <w:rsid w:val="000035CD"/>
    <w:rsid w:val="00004E53"/>
    <w:rsid w:val="00005985"/>
    <w:rsid w:val="00005A42"/>
    <w:rsid w:val="0000752C"/>
    <w:rsid w:val="000075E8"/>
    <w:rsid w:val="000105AA"/>
    <w:rsid w:val="00011ABF"/>
    <w:rsid w:val="00011D04"/>
    <w:rsid w:val="00017FBF"/>
    <w:rsid w:val="00021D19"/>
    <w:rsid w:val="00022381"/>
    <w:rsid w:val="00022635"/>
    <w:rsid w:val="00023874"/>
    <w:rsid w:val="00027F13"/>
    <w:rsid w:val="00035F80"/>
    <w:rsid w:val="00036078"/>
    <w:rsid w:val="00044077"/>
    <w:rsid w:val="00047029"/>
    <w:rsid w:val="00047042"/>
    <w:rsid w:val="000502BF"/>
    <w:rsid w:val="00051393"/>
    <w:rsid w:val="00052A76"/>
    <w:rsid w:val="00054B65"/>
    <w:rsid w:val="0005790D"/>
    <w:rsid w:val="00060FC1"/>
    <w:rsid w:val="00062CB9"/>
    <w:rsid w:val="00063E5F"/>
    <w:rsid w:val="000640E4"/>
    <w:rsid w:val="000651A5"/>
    <w:rsid w:val="00065290"/>
    <w:rsid w:val="00070507"/>
    <w:rsid w:val="00072F47"/>
    <w:rsid w:val="00074862"/>
    <w:rsid w:val="00081A99"/>
    <w:rsid w:val="000830CD"/>
    <w:rsid w:val="000868B4"/>
    <w:rsid w:val="000877D0"/>
    <w:rsid w:val="000915B7"/>
    <w:rsid w:val="00096CEF"/>
    <w:rsid w:val="000A117D"/>
    <w:rsid w:val="000A2985"/>
    <w:rsid w:val="000A3F46"/>
    <w:rsid w:val="000B1F81"/>
    <w:rsid w:val="000B2F0B"/>
    <w:rsid w:val="000B460E"/>
    <w:rsid w:val="000B7EAF"/>
    <w:rsid w:val="000C39E3"/>
    <w:rsid w:val="000C6727"/>
    <w:rsid w:val="000C7ACC"/>
    <w:rsid w:val="000D1BAF"/>
    <w:rsid w:val="000D28CB"/>
    <w:rsid w:val="000D2CA4"/>
    <w:rsid w:val="000D3392"/>
    <w:rsid w:val="000D6BED"/>
    <w:rsid w:val="000D71F3"/>
    <w:rsid w:val="000E2A7F"/>
    <w:rsid w:val="000E3CD6"/>
    <w:rsid w:val="000E4643"/>
    <w:rsid w:val="000E53E4"/>
    <w:rsid w:val="000E61E9"/>
    <w:rsid w:val="000E791B"/>
    <w:rsid w:val="000E7A6C"/>
    <w:rsid w:val="000E7B47"/>
    <w:rsid w:val="000F263A"/>
    <w:rsid w:val="000F5494"/>
    <w:rsid w:val="00105EA3"/>
    <w:rsid w:val="00107090"/>
    <w:rsid w:val="00111690"/>
    <w:rsid w:val="001135BA"/>
    <w:rsid w:val="00117A1D"/>
    <w:rsid w:val="00125629"/>
    <w:rsid w:val="00125CB1"/>
    <w:rsid w:val="001278A6"/>
    <w:rsid w:val="001354B6"/>
    <w:rsid w:val="00135E3B"/>
    <w:rsid w:val="00141941"/>
    <w:rsid w:val="00141973"/>
    <w:rsid w:val="00144A56"/>
    <w:rsid w:val="00146B68"/>
    <w:rsid w:val="00150303"/>
    <w:rsid w:val="00152AF6"/>
    <w:rsid w:val="00152E57"/>
    <w:rsid w:val="00154B35"/>
    <w:rsid w:val="00154EA2"/>
    <w:rsid w:val="00155B7F"/>
    <w:rsid w:val="00163DBF"/>
    <w:rsid w:val="00164A99"/>
    <w:rsid w:val="00165F50"/>
    <w:rsid w:val="001709FF"/>
    <w:rsid w:val="00173C4B"/>
    <w:rsid w:val="00175D27"/>
    <w:rsid w:val="001803A4"/>
    <w:rsid w:val="00180CE8"/>
    <w:rsid w:val="001923A9"/>
    <w:rsid w:val="0019316C"/>
    <w:rsid w:val="001B4007"/>
    <w:rsid w:val="001B587C"/>
    <w:rsid w:val="001B5C5E"/>
    <w:rsid w:val="001C2143"/>
    <w:rsid w:val="001C3E49"/>
    <w:rsid w:val="001D0C8E"/>
    <w:rsid w:val="001D4A82"/>
    <w:rsid w:val="001D6439"/>
    <w:rsid w:val="001D6D92"/>
    <w:rsid w:val="001E0B73"/>
    <w:rsid w:val="001E392C"/>
    <w:rsid w:val="001F063D"/>
    <w:rsid w:val="001F137E"/>
    <w:rsid w:val="001F2C42"/>
    <w:rsid w:val="001F3E18"/>
    <w:rsid w:val="001F441A"/>
    <w:rsid w:val="001F4ECE"/>
    <w:rsid w:val="001F52FB"/>
    <w:rsid w:val="001F7267"/>
    <w:rsid w:val="00203646"/>
    <w:rsid w:val="002073F4"/>
    <w:rsid w:val="00210B89"/>
    <w:rsid w:val="00213ECD"/>
    <w:rsid w:val="002143CA"/>
    <w:rsid w:val="0021746B"/>
    <w:rsid w:val="0022041A"/>
    <w:rsid w:val="00221AFC"/>
    <w:rsid w:val="00221D60"/>
    <w:rsid w:val="00222207"/>
    <w:rsid w:val="002239AD"/>
    <w:rsid w:val="00224609"/>
    <w:rsid w:val="002252B9"/>
    <w:rsid w:val="0022769E"/>
    <w:rsid w:val="0023087D"/>
    <w:rsid w:val="002309CB"/>
    <w:rsid w:val="00235B7E"/>
    <w:rsid w:val="0023730E"/>
    <w:rsid w:val="0024081D"/>
    <w:rsid w:val="002410A1"/>
    <w:rsid w:val="00241534"/>
    <w:rsid w:val="00245FA0"/>
    <w:rsid w:val="00252090"/>
    <w:rsid w:val="002563EF"/>
    <w:rsid w:val="00260A0D"/>
    <w:rsid w:val="00264A7E"/>
    <w:rsid w:val="00264D2A"/>
    <w:rsid w:val="0026621C"/>
    <w:rsid w:val="0026673E"/>
    <w:rsid w:val="002670EE"/>
    <w:rsid w:val="002717C9"/>
    <w:rsid w:val="00272930"/>
    <w:rsid w:val="00274889"/>
    <w:rsid w:val="00281FCE"/>
    <w:rsid w:val="00284C97"/>
    <w:rsid w:val="0028535B"/>
    <w:rsid w:val="00285989"/>
    <w:rsid w:val="002878E9"/>
    <w:rsid w:val="0029047C"/>
    <w:rsid w:val="0029058C"/>
    <w:rsid w:val="002916E2"/>
    <w:rsid w:val="00294216"/>
    <w:rsid w:val="00296D04"/>
    <w:rsid w:val="00296EEE"/>
    <w:rsid w:val="002A14F3"/>
    <w:rsid w:val="002A3E49"/>
    <w:rsid w:val="002A3F4C"/>
    <w:rsid w:val="002A4A12"/>
    <w:rsid w:val="002B2686"/>
    <w:rsid w:val="002B59AA"/>
    <w:rsid w:val="002B7448"/>
    <w:rsid w:val="002B7565"/>
    <w:rsid w:val="002C12B0"/>
    <w:rsid w:val="002C2462"/>
    <w:rsid w:val="002C423E"/>
    <w:rsid w:val="002C70E5"/>
    <w:rsid w:val="002D17BA"/>
    <w:rsid w:val="002D4821"/>
    <w:rsid w:val="002D5D63"/>
    <w:rsid w:val="002E0DFC"/>
    <w:rsid w:val="002E1258"/>
    <w:rsid w:val="002E5A2C"/>
    <w:rsid w:val="002F1B07"/>
    <w:rsid w:val="002F567A"/>
    <w:rsid w:val="002F6AE2"/>
    <w:rsid w:val="002F6D71"/>
    <w:rsid w:val="00300B2F"/>
    <w:rsid w:val="00301A6F"/>
    <w:rsid w:val="00306625"/>
    <w:rsid w:val="003068B7"/>
    <w:rsid w:val="00310D6F"/>
    <w:rsid w:val="00313225"/>
    <w:rsid w:val="00314AEF"/>
    <w:rsid w:val="003214A5"/>
    <w:rsid w:val="003224FD"/>
    <w:rsid w:val="00322B76"/>
    <w:rsid w:val="0032553F"/>
    <w:rsid w:val="00326F84"/>
    <w:rsid w:val="003317C9"/>
    <w:rsid w:val="003338C9"/>
    <w:rsid w:val="00334E3B"/>
    <w:rsid w:val="003357F5"/>
    <w:rsid w:val="00341CE5"/>
    <w:rsid w:val="00343584"/>
    <w:rsid w:val="00343FE3"/>
    <w:rsid w:val="003449F7"/>
    <w:rsid w:val="00357DF7"/>
    <w:rsid w:val="00357FA1"/>
    <w:rsid w:val="00361CEC"/>
    <w:rsid w:val="00363A76"/>
    <w:rsid w:val="00363E6E"/>
    <w:rsid w:val="00366585"/>
    <w:rsid w:val="0036759A"/>
    <w:rsid w:val="00371D4E"/>
    <w:rsid w:val="003745F7"/>
    <w:rsid w:val="00376DC5"/>
    <w:rsid w:val="0038264A"/>
    <w:rsid w:val="00384E14"/>
    <w:rsid w:val="003914BE"/>
    <w:rsid w:val="003924E5"/>
    <w:rsid w:val="003940A8"/>
    <w:rsid w:val="00394BCE"/>
    <w:rsid w:val="00395859"/>
    <w:rsid w:val="00395DFE"/>
    <w:rsid w:val="003963BB"/>
    <w:rsid w:val="0039668C"/>
    <w:rsid w:val="003A35AD"/>
    <w:rsid w:val="003A7622"/>
    <w:rsid w:val="003B159C"/>
    <w:rsid w:val="003B1B5C"/>
    <w:rsid w:val="003B27C8"/>
    <w:rsid w:val="003C0481"/>
    <w:rsid w:val="003C0E15"/>
    <w:rsid w:val="003D0DED"/>
    <w:rsid w:val="003D612B"/>
    <w:rsid w:val="003D6888"/>
    <w:rsid w:val="003D6CC5"/>
    <w:rsid w:val="003E13CB"/>
    <w:rsid w:val="003E3CEF"/>
    <w:rsid w:val="003F1651"/>
    <w:rsid w:val="003F1750"/>
    <w:rsid w:val="003F496B"/>
    <w:rsid w:val="003F4BFA"/>
    <w:rsid w:val="003F50C2"/>
    <w:rsid w:val="003F6419"/>
    <w:rsid w:val="003F7734"/>
    <w:rsid w:val="0040724D"/>
    <w:rsid w:val="004114D9"/>
    <w:rsid w:val="00411D52"/>
    <w:rsid w:val="004147C2"/>
    <w:rsid w:val="00416453"/>
    <w:rsid w:val="00424C0E"/>
    <w:rsid w:val="00425F6D"/>
    <w:rsid w:val="00430229"/>
    <w:rsid w:val="00432128"/>
    <w:rsid w:val="0043278E"/>
    <w:rsid w:val="00434FCC"/>
    <w:rsid w:val="00440041"/>
    <w:rsid w:val="00440BDE"/>
    <w:rsid w:val="0044476A"/>
    <w:rsid w:val="0044515D"/>
    <w:rsid w:val="00456421"/>
    <w:rsid w:val="004613C7"/>
    <w:rsid w:val="0046158B"/>
    <w:rsid w:val="00464208"/>
    <w:rsid w:val="004672E3"/>
    <w:rsid w:val="00471EAB"/>
    <w:rsid w:val="004766C7"/>
    <w:rsid w:val="00480A76"/>
    <w:rsid w:val="004818C9"/>
    <w:rsid w:val="00481B5C"/>
    <w:rsid w:val="00487CC5"/>
    <w:rsid w:val="00494720"/>
    <w:rsid w:val="00495B64"/>
    <w:rsid w:val="004A05FB"/>
    <w:rsid w:val="004A401B"/>
    <w:rsid w:val="004A4D2B"/>
    <w:rsid w:val="004B755F"/>
    <w:rsid w:val="004B7B82"/>
    <w:rsid w:val="004C5F41"/>
    <w:rsid w:val="004D0A85"/>
    <w:rsid w:val="004D277B"/>
    <w:rsid w:val="004D31AB"/>
    <w:rsid w:val="004D4AED"/>
    <w:rsid w:val="004E2998"/>
    <w:rsid w:val="004E2FD2"/>
    <w:rsid w:val="004E47C5"/>
    <w:rsid w:val="004E62EA"/>
    <w:rsid w:val="004E755B"/>
    <w:rsid w:val="00504135"/>
    <w:rsid w:val="005054A8"/>
    <w:rsid w:val="00505EF7"/>
    <w:rsid w:val="005066B7"/>
    <w:rsid w:val="0050791D"/>
    <w:rsid w:val="00507FCB"/>
    <w:rsid w:val="00512881"/>
    <w:rsid w:val="00515A6F"/>
    <w:rsid w:val="00521CF7"/>
    <w:rsid w:val="005249D6"/>
    <w:rsid w:val="00526B15"/>
    <w:rsid w:val="00526B25"/>
    <w:rsid w:val="00526EEC"/>
    <w:rsid w:val="00531CC8"/>
    <w:rsid w:val="005376DB"/>
    <w:rsid w:val="00537E5B"/>
    <w:rsid w:val="00541EF6"/>
    <w:rsid w:val="0055171F"/>
    <w:rsid w:val="005517F1"/>
    <w:rsid w:val="00551AA2"/>
    <w:rsid w:val="00552413"/>
    <w:rsid w:val="00556711"/>
    <w:rsid w:val="00557C04"/>
    <w:rsid w:val="005621BE"/>
    <w:rsid w:val="00571941"/>
    <w:rsid w:val="00571EDA"/>
    <w:rsid w:val="00572BB7"/>
    <w:rsid w:val="00580FEF"/>
    <w:rsid w:val="00590714"/>
    <w:rsid w:val="00590AF7"/>
    <w:rsid w:val="00591485"/>
    <w:rsid w:val="00591DD5"/>
    <w:rsid w:val="00592302"/>
    <w:rsid w:val="005A3098"/>
    <w:rsid w:val="005A3DF3"/>
    <w:rsid w:val="005A46F0"/>
    <w:rsid w:val="005A5E30"/>
    <w:rsid w:val="005A7234"/>
    <w:rsid w:val="005B1929"/>
    <w:rsid w:val="005B1EC6"/>
    <w:rsid w:val="005B1FA8"/>
    <w:rsid w:val="005B437B"/>
    <w:rsid w:val="005B6195"/>
    <w:rsid w:val="005C0EC0"/>
    <w:rsid w:val="005C3FE3"/>
    <w:rsid w:val="005C57DC"/>
    <w:rsid w:val="005C5F1E"/>
    <w:rsid w:val="005C65C1"/>
    <w:rsid w:val="005D046E"/>
    <w:rsid w:val="005D2371"/>
    <w:rsid w:val="005D425B"/>
    <w:rsid w:val="005D7DF0"/>
    <w:rsid w:val="005D7DF4"/>
    <w:rsid w:val="005E31A1"/>
    <w:rsid w:val="005E3DEF"/>
    <w:rsid w:val="005E3F69"/>
    <w:rsid w:val="005E457C"/>
    <w:rsid w:val="005E4E0D"/>
    <w:rsid w:val="005E72DB"/>
    <w:rsid w:val="005F37A0"/>
    <w:rsid w:val="005F4157"/>
    <w:rsid w:val="005F6866"/>
    <w:rsid w:val="0060049F"/>
    <w:rsid w:val="006012FE"/>
    <w:rsid w:val="00603C4D"/>
    <w:rsid w:val="006058A7"/>
    <w:rsid w:val="006064D3"/>
    <w:rsid w:val="00606BDE"/>
    <w:rsid w:val="00612E71"/>
    <w:rsid w:val="00616D37"/>
    <w:rsid w:val="00617F75"/>
    <w:rsid w:val="00620A17"/>
    <w:rsid w:val="00622328"/>
    <w:rsid w:val="006244DF"/>
    <w:rsid w:val="0062788D"/>
    <w:rsid w:val="00635470"/>
    <w:rsid w:val="00636F1F"/>
    <w:rsid w:val="006371B3"/>
    <w:rsid w:val="00643E17"/>
    <w:rsid w:val="00644511"/>
    <w:rsid w:val="006454E2"/>
    <w:rsid w:val="00650234"/>
    <w:rsid w:val="006524C0"/>
    <w:rsid w:val="0065478F"/>
    <w:rsid w:val="00662EB6"/>
    <w:rsid w:val="006670E1"/>
    <w:rsid w:val="0067088F"/>
    <w:rsid w:val="00673496"/>
    <w:rsid w:val="00677A98"/>
    <w:rsid w:val="00683464"/>
    <w:rsid w:val="00685614"/>
    <w:rsid w:val="00685A50"/>
    <w:rsid w:val="0068693D"/>
    <w:rsid w:val="00686974"/>
    <w:rsid w:val="00687FFE"/>
    <w:rsid w:val="00694FAE"/>
    <w:rsid w:val="006953CA"/>
    <w:rsid w:val="006A10E6"/>
    <w:rsid w:val="006A11C6"/>
    <w:rsid w:val="006A13CE"/>
    <w:rsid w:val="006A1938"/>
    <w:rsid w:val="006A4733"/>
    <w:rsid w:val="006A4BE3"/>
    <w:rsid w:val="006A73D2"/>
    <w:rsid w:val="006A74C6"/>
    <w:rsid w:val="006B5B1C"/>
    <w:rsid w:val="006B722A"/>
    <w:rsid w:val="006B7D6E"/>
    <w:rsid w:val="006D5DAA"/>
    <w:rsid w:val="006D5DE1"/>
    <w:rsid w:val="006D6A82"/>
    <w:rsid w:val="006E157B"/>
    <w:rsid w:val="006E15C5"/>
    <w:rsid w:val="006E3ABF"/>
    <w:rsid w:val="006E5426"/>
    <w:rsid w:val="006E71C6"/>
    <w:rsid w:val="006E7ED4"/>
    <w:rsid w:val="006F13F7"/>
    <w:rsid w:val="0070415A"/>
    <w:rsid w:val="0070607B"/>
    <w:rsid w:val="00706AA7"/>
    <w:rsid w:val="007113C4"/>
    <w:rsid w:val="0071371B"/>
    <w:rsid w:val="007156C7"/>
    <w:rsid w:val="00716F83"/>
    <w:rsid w:val="0072645D"/>
    <w:rsid w:val="00726F2A"/>
    <w:rsid w:val="00727E23"/>
    <w:rsid w:val="0073169C"/>
    <w:rsid w:val="007325FE"/>
    <w:rsid w:val="00734A65"/>
    <w:rsid w:val="007362AF"/>
    <w:rsid w:val="00740BA5"/>
    <w:rsid w:val="0074402C"/>
    <w:rsid w:val="007440F7"/>
    <w:rsid w:val="00744C50"/>
    <w:rsid w:val="00750432"/>
    <w:rsid w:val="007543E5"/>
    <w:rsid w:val="007575DA"/>
    <w:rsid w:val="00760586"/>
    <w:rsid w:val="0076325E"/>
    <w:rsid w:val="0076391C"/>
    <w:rsid w:val="00763E58"/>
    <w:rsid w:val="00765B4B"/>
    <w:rsid w:val="007672B2"/>
    <w:rsid w:val="00771FD3"/>
    <w:rsid w:val="007761FA"/>
    <w:rsid w:val="0077687D"/>
    <w:rsid w:val="00793C18"/>
    <w:rsid w:val="00794D90"/>
    <w:rsid w:val="00797C99"/>
    <w:rsid w:val="007A0B57"/>
    <w:rsid w:val="007A2738"/>
    <w:rsid w:val="007A2F4D"/>
    <w:rsid w:val="007A3790"/>
    <w:rsid w:val="007A7789"/>
    <w:rsid w:val="007A7873"/>
    <w:rsid w:val="007B3D27"/>
    <w:rsid w:val="007B5B1D"/>
    <w:rsid w:val="007B63F4"/>
    <w:rsid w:val="007C09D0"/>
    <w:rsid w:val="007C4960"/>
    <w:rsid w:val="007C50B8"/>
    <w:rsid w:val="007C5155"/>
    <w:rsid w:val="007C6D10"/>
    <w:rsid w:val="007C7949"/>
    <w:rsid w:val="007D2A05"/>
    <w:rsid w:val="007D5757"/>
    <w:rsid w:val="007D6839"/>
    <w:rsid w:val="007E51DC"/>
    <w:rsid w:val="007E6AEF"/>
    <w:rsid w:val="007F3974"/>
    <w:rsid w:val="007F3B69"/>
    <w:rsid w:val="00801099"/>
    <w:rsid w:val="00803CD8"/>
    <w:rsid w:val="00803EE3"/>
    <w:rsid w:val="00804848"/>
    <w:rsid w:val="00805BA8"/>
    <w:rsid w:val="00806FDE"/>
    <w:rsid w:val="00815610"/>
    <w:rsid w:val="00815884"/>
    <w:rsid w:val="008158BA"/>
    <w:rsid w:val="00815F6A"/>
    <w:rsid w:val="00817D55"/>
    <w:rsid w:val="00825BF8"/>
    <w:rsid w:val="0083205F"/>
    <w:rsid w:val="00835C3B"/>
    <w:rsid w:val="008374F4"/>
    <w:rsid w:val="00844B17"/>
    <w:rsid w:val="008523B4"/>
    <w:rsid w:val="00856ACE"/>
    <w:rsid w:val="00861E1D"/>
    <w:rsid w:val="0086503E"/>
    <w:rsid w:val="00867CA7"/>
    <w:rsid w:val="00867CA9"/>
    <w:rsid w:val="00873347"/>
    <w:rsid w:val="00875D70"/>
    <w:rsid w:val="0087617C"/>
    <w:rsid w:val="00877B00"/>
    <w:rsid w:val="00880707"/>
    <w:rsid w:val="00882C08"/>
    <w:rsid w:val="00883F52"/>
    <w:rsid w:val="00890C2F"/>
    <w:rsid w:val="00891B16"/>
    <w:rsid w:val="00892016"/>
    <w:rsid w:val="008927EC"/>
    <w:rsid w:val="00895307"/>
    <w:rsid w:val="00895787"/>
    <w:rsid w:val="008958EA"/>
    <w:rsid w:val="008962F6"/>
    <w:rsid w:val="008A419E"/>
    <w:rsid w:val="008A561B"/>
    <w:rsid w:val="008A5960"/>
    <w:rsid w:val="008A64D9"/>
    <w:rsid w:val="008B106C"/>
    <w:rsid w:val="008B24E5"/>
    <w:rsid w:val="008B368A"/>
    <w:rsid w:val="008B4D94"/>
    <w:rsid w:val="008B570A"/>
    <w:rsid w:val="008B6884"/>
    <w:rsid w:val="008C14CA"/>
    <w:rsid w:val="008C3AFA"/>
    <w:rsid w:val="008C400A"/>
    <w:rsid w:val="008C555F"/>
    <w:rsid w:val="008C5D5E"/>
    <w:rsid w:val="008C7705"/>
    <w:rsid w:val="008D4C63"/>
    <w:rsid w:val="008D7AD2"/>
    <w:rsid w:val="008E2296"/>
    <w:rsid w:val="008E23F1"/>
    <w:rsid w:val="008E3200"/>
    <w:rsid w:val="008E4CD8"/>
    <w:rsid w:val="008E5126"/>
    <w:rsid w:val="008E573A"/>
    <w:rsid w:val="008F234A"/>
    <w:rsid w:val="008F4FAF"/>
    <w:rsid w:val="008F5AAD"/>
    <w:rsid w:val="008F6BD3"/>
    <w:rsid w:val="0090056A"/>
    <w:rsid w:val="00900852"/>
    <w:rsid w:val="00902039"/>
    <w:rsid w:val="00907590"/>
    <w:rsid w:val="00907643"/>
    <w:rsid w:val="00912287"/>
    <w:rsid w:val="00921933"/>
    <w:rsid w:val="00924155"/>
    <w:rsid w:val="0092662A"/>
    <w:rsid w:val="009274CE"/>
    <w:rsid w:val="00927BA8"/>
    <w:rsid w:val="00931171"/>
    <w:rsid w:val="00932379"/>
    <w:rsid w:val="009325A5"/>
    <w:rsid w:val="00933CA8"/>
    <w:rsid w:val="009421DC"/>
    <w:rsid w:val="0094464A"/>
    <w:rsid w:val="00945B7D"/>
    <w:rsid w:val="00956D22"/>
    <w:rsid w:val="00956F59"/>
    <w:rsid w:val="0095768D"/>
    <w:rsid w:val="009629DB"/>
    <w:rsid w:val="00963081"/>
    <w:rsid w:val="009630F9"/>
    <w:rsid w:val="00963C09"/>
    <w:rsid w:val="00964D04"/>
    <w:rsid w:val="009652E7"/>
    <w:rsid w:val="00966F4F"/>
    <w:rsid w:val="009701FD"/>
    <w:rsid w:val="00972368"/>
    <w:rsid w:val="009729B4"/>
    <w:rsid w:val="00976F87"/>
    <w:rsid w:val="009779EF"/>
    <w:rsid w:val="009802C0"/>
    <w:rsid w:val="00980F51"/>
    <w:rsid w:val="009866E1"/>
    <w:rsid w:val="00987E5C"/>
    <w:rsid w:val="0099128E"/>
    <w:rsid w:val="00991B5A"/>
    <w:rsid w:val="009A0143"/>
    <w:rsid w:val="009B0C99"/>
    <w:rsid w:val="009C35CF"/>
    <w:rsid w:val="009C3D31"/>
    <w:rsid w:val="009C579A"/>
    <w:rsid w:val="009C7EB2"/>
    <w:rsid w:val="009D17B1"/>
    <w:rsid w:val="009D54CA"/>
    <w:rsid w:val="009D558A"/>
    <w:rsid w:val="009D71C7"/>
    <w:rsid w:val="009E18EC"/>
    <w:rsid w:val="009E516F"/>
    <w:rsid w:val="009E74B5"/>
    <w:rsid w:val="009F15BD"/>
    <w:rsid w:val="009F1BFB"/>
    <w:rsid w:val="00A00D41"/>
    <w:rsid w:val="00A03987"/>
    <w:rsid w:val="00A04D09"/>
    <w:rsid w:val="00A04FD8"/>
    <w:rsid w:val="00A112AC"/>
    <w:rsid w:val="00A15C41"/>
    <w:rsid w:val="00A21317"/>
    <w:rsid w:val="00A21990"/>
    <w:rsid w:val="00A22452"/>
    <w:rsid w:val="00A244BE"/>
    <w:rsid w:val="00A245E4"/>
    <w:rsid w:val="00A31C14"/>
    <w:rsid w:val="00A3319C"/>
    <w:rsid w:val="00A36589"/>
    <w:rsid w:val="00A36E80"/>
    <w:rsid w:val="00A36FA8"/>
    <w:rsid w:val="00A4169B"/>
    <w:rsid w:val="00A46C9E"/>
    <w:rsid w:val="00A47751"/>
    <w:rsid w:val="00A50FE8"/>
    <w:rsid w:val="00A51410"/>
    <w:rsid w:val="00A548C3"/>
    <w:rsid w:val="00A556A8"/>
    <w:rsid w:val="00A636FD"/>
    <w:rsid w:val="00A6666E"/>
    <w:rsid w:val="00A6668C"/>
    <w:rsid w:val="00A66DD4"/>
    <w:rsid w:val="00A6776C"/>
    <w:rsid w:val="00A71D77"/>
    <w:rsid w:val="00A727CF"/>
    <w:rsid w:val="00A732B5"/>
    <w:rsid w:val="00A748FA"/>
    <w:rsid w:val="00A77E00"/>
    <w:rsid w:val="00A82B72"/>
    <w:rsid w:val="00A82FE4"/>
    <w:rsid w:val="00A87E0C"/>
    <w:rsid w:val="00A90CB1"/>
    <w:rsid w:val="00A91C53"/>
    <w:rsid w:val="00A935D3"/>
    <w:rsid w:val="00A93D32"/>
    <w:rsid w:val="00A946CE"/>
    <w:rsid w:val="00A96AF9"/>
    <w:rsid w:val="00AA4201"/>
    <w:rsid w:val="00AA4710"/>
    <w:rsid w:val="00AA482A"/>
    <w:rsid w:val="00AA4E09"/>
    <w:rsid w:val="00AA67E6"/>
    <w:rsid w:val="00AA72F2"/>
    <w:rsid w:val="00AA7833"/>
    <w:rsid w:val="00AB13BB"/>
    <w:rsid w:val="00AB1AEB"/>
    <w:rsid w:val="00AB1D14"/>
    <w:rsid w:val="00AB26CA"/>
    <w:rsid w:val="00AB29AF"/>
    <w:rsid w:val="00AB4B82"/>
    <w:rsid w:val="00AC1224"/>
    <w:rsid w:val="00AC4ECB"/>
    <w:rsid w:val="00AD23CB"/>
    <w:rsid w:val="00AD73A3"/>
    <w:rsid w:val="00AE15A2"/>
    <w:rsid w:val="00AE2949"/>
    <w:rsid w:val="00AE3055"/>
    <w:rsid w:val="00AE4F3A"/>
    <w:rsid w:val="00AF092A"/>
    <w:rsid w:val="00B03EAF"/>
    <w:rsid w:val="00B043C2"/>
    <w:rsid w:val="00B04888"/>
    <w:rsid w:val="00B11361"/>
    <w:rsid w:val="00B12AA1"/>
    <w:rsid w:val="00B15EDC"/>
    <w:rsid w:val="00B1649D"/>
    <w:rsid w:val="00B172A3"/>
    <w:rsid w:val="00B205DD"/>
    <w:rsid w:val="00B2219C"/>
    <w:rsid w:val="00B223D6"/>
    <w:rsid w:val="00B230EE"/>
    <w:rsid w:val="00B24137"/>
    <w:rsid w:val="00B276C6"/>
    <w:rsid w:val="00B31412"/>
    <w:rsid w:val="00B348B8"/>
    <w:rsid w:val="00B3695A"/>
    <w:rsid w:val="00B42946"/>
    <w:rsid w:val="00B42ED6"/>
    <w:rsid w:val="00B4465E"/>
    <w:rsid w:val="00B45E0C"/>
    <w:rsid w:val="00B470AC"/>
    <w:rsid w:val="00B51A81"/>
    <w:rsid w:val="00B567DB"/>
    <w:rsid w:val="00B603B3"/>
    <w:rsid w:val="00B64942"/>
    <w:rsid w:val="00B6710E"/>
    <w:rsid w:val="00B73A3D"/>
    <w:rsid w:val="00B76AF8"/>
    <w:rsid w:val="00B77D32"/>
    <w:rsid w:val="00B80F46"/>
    <w:rsid w:val="00B87672"/>
    <w:rsid w:val="00B87994"/>
    <w:rsid w:val="00B93391"/>
    <w:rsid w:val="00B933DD"/>
    <w:rsid w:val="00B96FD8"/>
    <w:rsid w:val="00BA7AEF"/>
    <w:rsid w:val="00BB109B"/>
    <w:rsid w:val="00BB30D1"/>
    <w:rsid w:val="00BB792B"/>
    <w:rsid w:val="00BC278B"/>
    <w:rsid w:val="00BC36E8"/>
    <w:rsid w:val="00BC7933"/>
    <w:rsid w:val="00BD27E1"/>
    <w:rsid w:val="00BD2C3B"/>
    <w:rsid w:val="00BD7AAC"/>
    <w:rsid w:val="00BE3BDB"/>
    <w:rsid w:val="00BE4096"/>
    <w:rsid w:val="00BE51C5"/>
    <w:rsid w:val="00BE585D"/>
    <w:rsid w:val="00BF329F"/>
    <w:rsid w:val="00BF5642"/>
    <w:rsid w:val="00BF5CD9"/>
    <w:rsid w:val="00C003D1"/>
    <w:rsid w:val="00C0340D"/>
    <w:rsid w:val="00C07D18"/>
    <w:rsid w:val="00C07FB2"/>
    <w:rsid w:val="00C13010"/>
    <w:rsid w:val="00C1382F"/>
    <w:rsid w:val="00C1504D"/>
    <w:rsid w:val="00C1695C"/>
    <w:rsid w:val="00C178B6"/>
    <w:rsid w:val="00C20E1F"/>
    <w:rsid w:val="00C21E7D"/>
    <w:rsid w:val="00C25AFE"/>
    <w:rsid w:val="00C326DC"/>
    <w:rsid w:val="00C32774"/>
    <w:rsid w:val="00C35D71"/>
    <w:rsid w:val="00C35DDD"/>
    <w:rsid w:val="00C40308"/>
    <w:rsid w:val="00C40AA9"/>
    <w:rsid w:val="00C41D2E"/>
    <w:rsid w:val="00C4328B"/>
    <w:rsid w:val="00C44119"/>
    <w:rsid w:val="00C47C97"/>
    <w:rsid w:val="00C525A2"/>
    <w:rsid w:val="00C61212"/>
    <w:rsid w:val="00C6187F"/>
    <w:rsid w:val="00C65FAF"/>
    <w:rsid w:val="00C725FC"/>
    <w:rsid w:val="00C743E4"/>
    <w:rsid w:val="00C808E2"/>
    <w:rsid w:val="00C82E4C"/>
    <w:rsid w:val="00C8363C"/>
    <w:rsid w:val="00C83D72"/>
    <w:rsid w:val="00C84836"/>
    <w:rsid w:val="00C85668"/>
    <w:rsid w:val="00C85A2B"/>
    <w:rsid w:val="00C86B80"/>
    <w:rsid w:val="00C9390A"/>
    <w:rsid w:val="00C95F77"/>
    <w:rsid w:val="00CA0B80"/>
    <w:rsid w:val="00CA0F96"/>
    <w:rsid w:val="00CA367F"/>
    <w:rsid w:val="00CA542B"/>
    <w:rsid w:val="00CB6CD2"/>
    <w:rsid w:val="00CC27EA"/>
    <w:rsid w:val="00CC3827"/>
    <w:rsid w:val="00CC4827"/>
    <w:rsid w:val="00CC5E28"/>
    <w:rsid w:val="00CC6FA5"/>
    <w:rsid w:val="00CD11A2"/>
    <w:rsid w:val="00CD196E"/>
    <w:rsid w:val="00CD29ED"/>
    <w:rsid w:val="00CD4276"/>
    <w:rsid w:val="00CD78EB"/>
    <w:rsid w:val="00CE33F4"/>
    <w:rsid w:val="00CE751C"/>
    <w:rsid w:val="00CF03D1"/>
    <w:rsid w:val="00CF1073"/>
    <w:rsid w:val="00CF2996"/>
    <w:rsid w:val="00CF634B"/>
    <w:rsid w:val="00CF6A40"/>
    <w:rsid w:val="00D00F04"/>
    <w:rsid w:val="00D01FD4"/>
    <w:rsid w:val="00D06FA0"/>
    <w:rsid w:val="00D211F2"/>
    <w:rsid w:val="00D26AAD"/>
    <w:rsid w:val="00D27E72"/>
    <w:rsid w:val="00D360E3"/>
    <w:rsid w:val="00D36EC9"/>
    <w:rsid w:val="00D4051B"/>
    <w:rsid w:val="00D42EEF"/>
    <w:rsid w:val="00D45207"/>
    <w:rsid w:val="00D53612"/>
    <w:rsid w:val="00D53CED"/>
    <w:rsid w:val="00D545E2"/>
    <w:rsid w:val="00D54CC7"/>
    <w:rsid w:val="00D55364"/>
    <w:rsid w:val="00D5572D"/>
    <w:rsid w:val="00D57F3A"/>
    <w:rsid w:val="00D60D63"/>
    <w:rsid w:val="00D623FB"/>
    <w:rsid w:val="00D71B35"/>
    <w:rsid w:val="00D76C72"/>
    <w:rsid w:val="00D76FC6"/>
    <w:rsid w:val="00D806F1"/>
    <w:rsid w:val="00D808E4"/>
    <w:rsid w:val="00D839AC"/>
    <w:rsid w:val="00D855B3"/>
    <w:rsid w:val="00D86347"/>
    <w:rsid w:val="00D86451"/>
    <w:rsid w:val="00D87477"/>
    <w:rsid w:val="00D94330"/>
    <w:rsid w:val="00D953F8"/>
    <w:rsid w:val="00DA2E98"/>
    <w:rsid w:val="00DB1E11"/>
    <w:rsid w:val="00DB32A5"/>
    <w:rsid w:val="00DC0648"/>
    <w:rsid w:val="00DC7220"/>
    <w:rsid w:val="00DD1130"/>
    <w:rsid w:val="00DD64C0"/>
    <w:rsid w:val="00DD783C"/>
    <w:rsid w:val="00DF0BE3"/>
    <w:rsid w:val="00DF4300"/>
    <w:rsid w:val="00E00BDE"/>
    <w:rsid w:val="00E11215"/>
    <w:rsid w:val="00E12A55"/>
    <w:rsid w:val="00E12D98"/>
    <w:rsid w:val="00E1371F"/>
    <w:rsid w:val="00E15AA0"/>
    <w:rsid w:val="00E15D75"/>
    <w:rsid w:val="00E215F3"/>
    <w:rsid w:val="00E24407"/>
    <w:rsid w:val="00E25BCC"/>
    <w:rsid w:val="00E30BEB"/>
    <w:rsid w:val="00E31F71"/>
    <w:rsid w:val="00E3474C"/>
    <w:rsid w:val="00E36ABB"/>
    <w:rsid w:val="00E4026D"/>
    <w:rsid w:val="00E414B3"/>
    <w:rsid w:val="00E42924"/>
    <w:rsid w:val="00E43EEB"/>
    <w:rsid w:val="00E46883"/>
    <w:rsid w:val="00E50011"/>
    <w:rsid w:val="00E5428E"/>
    <w:rsid w:val="00E6047C"/>
    <w:rsid w:val="00E62DBE"/>
    <w:rsid w:val="00E724FC"/>
    <w:rsid w:val="00E75ADE"/>
    <w:rsid w:val="00E83506"/>
    <w:rsid w:val="00E83B70"/>
    <w:rsid w:val="00E83ED1"/>
    <w:rsid w:val="00E97A04"/>
    <w:rsid w:val="00E97E97"/>
    <w:rsid w:val="00EA4F5C"/>
    <w:rsid w:val="00EA7056"/>
    <w:rsid w:val="00EB0335"/>
    <w:rsid w:val="00EB124F"/>
    <w:rsid w:val="00EB7600"/>
    <w:rsid w:val="00EC5BC0"/>
    <w:rsid w:val="00EC6122"/>
    <w:rsid w:val="00EC6DE1"/>
    <w:rsid w:val="00ED3BC0"/>
    <w:rsid w:val="00EE3D49"/>
    <w:rsid w:val="00EE53D7"/>
    <w:rsid w:val="00EE63C7"/>
    <w:rsid w:val="00EE73A5"/>
    <w:rsid w:val="00EE740C"/>
    <w:rsid w:val="00EF080D"/>
    <w:rsid w:val="00EF31E5"/>
    <w:rsid w:val="00EF531B"/>
    <w:rsid w:val="00EF61C1"/>
    <w:rsid w:val="00EF6A66"/>
    <w:rsid w:val="00F024F6"/>
    <w:rsid w:val="00F037A5"/>
    <w:rsid w:val="00F03F3B"/>
    <w:rsid w:val="00F07328"/>
    <w:rsid w:val="00F130BC"/>
    <w:rsid w:val="00F13403"/>
    <w:rsid w:val="00F13B23"/>
    <w:rsid w:val="00F215D0"/>
    <w:rsid w:val="00F224AC"/>
    <w:rsid w:val="00F23E78"/>
    <w:rsid w:val="00F2406B"/>
    <w:rsid w:val="00F2556B"/>
    <w:rsid w:val="00F26456"/>
    <w:rsid w:val="00F26DB1"/>
    <w:rsid w:val="00F30231"/>
    <w:rsid w:val="00F31478"/>
    <w:rsid w:val="00F31C02"/>
    <w:rsid w:val="00F33ED0"/>
    <w:rsid w:val="00F47794"/>
    <w:rsid w:val="00F56E39"/>
    <w:rsid w:val="00F57F5E"/>
    <w:rsid w:val="00F57F9F"/>
    <w:rsid w:val="00F61E02"/>
    <w:rsid w:val="00F62FE2"/>
    <w:rsid w:val="00F6680A"/>
    <w:rsid w:val="00F71451"/>
    <w:rsid w:val="00F73C4B"/>
    <w:rsid w:val="00F8409C"/>
    <w:rsid w:val="00F84778"/>
    <w:rsid w:val="00F853DE"/>
    <w:rsid w:val="00F87399"/>
    <w:rsid w:val="00F87444"/>
    <w:rsid w:val="00F939AC"/>
    <w:rsid w:val="00F97754"/>
    <w:rsid w:val="00F97AC7"/>
    <w:rsid w:val="00FA22D3"/>
    <w:rsid w:val="00FA234E"/>
    <w:rsid w:val="00FA7528"/>
    <w:rsid w:val="00FB10DD"/>
    <w:rsid w:val="00FB1E5B"/>
    <w:rsid w:val="00FB2D4E"/>
    <w:rsid w:val="00FB60B5"/>
    <w:rsid w:val="00FB6E57"/>
    <w:rsid w:val="00FC5E4F"/>
    <w:rsid w:val="00FC6A43"/>
    <w:rsid w:val="00FC729D"/>
    <w:rsid w:val="00FC7D32"/>
    <w:rsid w:val="00FD1315"/>
    <w:rsid w:val="00FD14EF"/>
    <w:rsid w:val="00FD4529"/>
    <w:rsid w:val="00FD5252"/>
    <w:rsid w:val="00FD74E5"/>
    <w:rsid w:val="00FE2591"/>
    <w:rsid w:val="00FE5CC7"/>
    <w:rsid w:val="00FF0426"/>
    <w:rsid w:val="00FF13A5"/>
    <w:rsid w:val="00FF2286"/>
    <w:rsid w:val="00F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03956"/>
  <w15:docId w15:val="{5ED99FC1-F01C-4FC0-9A3F-F05CC654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6F87"/>
    <w:rPr>
      <w:rFonts w:ascii="Arial" w:hAnsi="Arial"/>
      <w:sz w:val="22"/>
    </w:rPr>
  </w:style>
  <w:style w:type="paragraph" w:styleId="Heading1">
    <w:name w:val="heading 1"/>
    <w:basedOn w:val="Normal"/>
    <w:next w:val="Normal"/>
    <w:qFormat/>
    <w:pPr>
      <w:keepNext/>
      <w:outlineLvl w:val="0"/>
    </w:pPr>
    <w:rPr>
      <w:rFonts w:ascii="Times New Roman" w:hAnsi="Times New Roman"/>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tabs>
        <w:tab w:val="left" w:pos="6724"/>
        <w:tab w:val="right" w:pos="8919"/>
      </w:tabs>
      <w:ind w:firstLine="96"/>
      <w:outlineLvl w:val="2"/>
    </w:pPr>
    <w:rPr>
      <w:sz w:val="17"/>
      <w:u w:val="single"/>
    </w:rPr>
  </w:style>
  <w:style w:type="paragraph" w:styleId="Heading4">
    <w:name w:val="heading 4"/>
    <w:basedOn w:val="Normal"/>
    <w:next w:val="Normal"/>
    <w:qFormat/>
    <w:pPr>
      <w:keepNext/>
      <w:tabs>
        <w:tab w:val="left" w:pos="4334"/>
        <w:tab w:val="right" w:pos="6987"/>
        <w:tab w:val="center" w:pos="7539"/>
        <w:tab w:val="center" w:pos="8682"/>
        <w:tab w:val="right" w:pos="9180"/>
      </w:tabs>
      <w:outlineLvl w:val="3"/>
    </w:pPr>
    <w:rPr>
      <w:sz w:val="17"/>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24"/>
    </w:rPr>
  </w:style>
  <w:style w:type="paragraph" w:styleId="BodyText">
    <w:name w:val="Body Text"/>
    <w:basedOn w:val="Normal"/>
    <w:rPr>
      <w:b/>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rPr>
      <w:i/>
    </w:rPr>
  </w:style>
  <w:style w:type="paragraph" w:customStyle="1" w:styleId="OmniPage774">
    <w:name w:val="OmniPage #774"/>
    <w:basedOn w:val="Normal"/>
    <w:pPr>
      <w:ind w:left="1756" w:right="100"/>
    </w:pPr>
    <w:rPr>
      <w:noProof/>
      <w:sz w:val="20"/>
    </w:rPr>
  </w:style>
  <w:style w:type="paragraph" w:customStyle="1" w:styleId="OmniPage1541">
    <w:name w:val="OmniPage #1541"/>
    <w:basedOn w:val="Normal"/>
    <w:pPr>
      <w:ind w:left="1721" w:right="213"/>
    </w:pPr>
    <w:rPr>
      <w:noProof/>
      <w:sz w:val="20"/>
    </w:rPr>
  </w:style>
  <w:style w:type="paragraph" w:customStyle="1" w:styleId="OmniPage1542">
    <w:name w:val="OmniPage #1542"/>
    <w:basedOn w:val="Normal"/>
    <w:pPr>
      <w:tabs>
        <w:tab w:val="left" w:pos="824"/>
        <w:tab w:val="right" w:pos="8850"/>
      </w:tabs>
      <w:ind w:left="2109" w:right="100"/>
    </w:pPr>
    <w:rPr>
      <w:noProof/>
      <w:sz w:val="20"/>
    </w:rPr>
  </w:style>
  <w:style w:type="paragraph" w:customStyle="1" w:styleId="OmniPage1545">
    <w:name w:val="OmniPage #1545"/>
    <w:basedOn w:val="Normal"/>
    <w:pPr>
      <w:tabs>
        <w:tab w:val="left" w:pos="881"/>
      </w:tabs>
      <w:ind w:left="2452" w:right="284" w:hanging="361"/>
    </w:pPr>
    <w:rPr>
      <w:noProof/>
      <w:sz w:val="20"/>
    </w:rPr>
  </w:style>
  <w:style w:type="paragraph" w:customStyle="1" w:styleId="OmniPage1547">
    <w:name w:val="OmniPage #1547"/>
    <w:basedOn w:val="Normal"/>
    <w:pPr>
      <w:ind w:left="1728" w:right="949"/>
    </w:pPr>
    <w:rPr>
      <w:noProof/>
      <w:sz w:val="20"/>
    </w:rPr>
  </w:style>
  <w:style w:type="paragraph" w:customStyle="1" w:styleId="OmniPage1795">
    <w:name w:val="OmniPage #1795"/>
    <w:basedOn w:val="Normal"/>
    <w:pPr>
      <w:tabs>
        <w:tab w:val="left" w:pos="1475"/>
        <w:tab w:val="left" w:pos="2207"/>
        <w:tab w:val="right" w:pos="10652"/>
      </w:tabs>
      <w:ind w:left="608" w:right="160"/>
    </w:pPr>
    <w:rPr>
      <w:noProof/>
      <w:sz w:val="20"/>
    </w:rPr>
  </w:style>
  <w:style w:type="paragraph" w:customStyle="1" w:styleId="OmniPage1797">
    <w:name w:val="OmniPage #1797"/>
    <w:basedOn w:val="Normal"/>
    <w:pPr>
      <w:tabs>
        <w:tab w:val="left" w:pos="1482"/>
        <w:tab w:val="left" w:pos="2210"/>
        <w:tab w:val="right" w:pos="10712"/>
      </w:tabs>
      <w:ind w:left="628" w:right="100"/>
    </w:pPr>
    <w:rPr>
      <w:noProof/>
      <w:sz w:val="20"/>
    </w:rPr>
  </w:style>
  <w:style w:type="paragraph" w:customStyle="1" w:styleId="OmniPage1798">
    <w:name w:val="OmniPage #1798"/>
    <w:basedOn w:val="Normal"/>
    <w:pPr>
      <w:tabs>
        <w:tab w:val="right" w:pos="5154"/>
      </w:tabs>
      <w:ind w:left="5263" w:right="5658"/>
    </w:pPr>
    <w:rPr>
      <w:noProof/>
      <w:sz w:val="20"/>
    </w:rPr>
  </w:style>
  <w:style w:type="paragraph" w:customStyle="1" w:styleId="OmniPage2050">
    <w:name w:val="OmniPage #2050"/>
    <w:basedOn w:val="Normal"/>
    <w:pPr>
      <w:ind w:left="2016" w:right="326" w:firstLine="722"/>
    </w:pPr>
    <w:rPr>
      <w:noProof/>
      <w:sz w:val="20"/>
    </w:rPr>
  </w:style>
  <w:style w:type="paragraph" w:customStyle="1" w:styleId="OmniPage2054">
    <w:name w:val="OmniPage #2054"/>
    <w:basedOn w:val="Normal"/>
    <w:pPr>
      <w:ind w:left="5652" w:right="2592"/>
    </w:pPr>
    <w:rPr>
      <w:noProof/>
      <w:sz w:val="20"/>
    </w:rPr>
  </w:style>
  <w:style w:type="paragraph" w:customStyle="1" w:styleId="OmniPage5">
    <w:name w:val="OmniPage #5"/>
    <w:basedOn w:val="Normal"/>
    <w:pPr>
      <w:ind w:left="1380" w:right="45" w:firstLine="720"/>
    </w:pPr>
    <w:rPr>
      <w:noProof/>
      <w:sz w:val="20"/>
    </w:rPr>
  </w:style>
  <w:style w:type="paragraph" w:customStyle="1" w:styleId="OmniPage258">
    <w:name w:val="OmniPage #258"/>
    <w:basedOn w:val="Normal"/>
    <w:pPr>
      <w:ind w:left="1487" w:right="100" w:firstLine="714"/>
    </w:pPr>
    <w:rPr>
      <w:noProof/>
      <w:sz w:val="20"/>
    </w:rPr>
  </w:style>
  <w:style w:type="paragraph" w:customStyle="1" w:styleId="OmniPage259">
    <w:name w:val="OmniPage #259"/>
    <w:basedOn w:val="Normal"/>
    <w:pPr>
      <w:tabs>
        <w:tab w:val="left" w:pos="1032"/>
        <w:tab w:val="left" w:pos="4467"/>
        <w:tab w:val="left" w:pos="6705"/>
        <w:tab w:val="left" w:pos="7329"/>
        <w:tab w:val="right" w:pos="8990"/>
      </w:tabs>
      <w:ind w:left="2227" w:right="561"/>
    </w:pPr>
    <w:rPr>
      <w:noProof/>
      <w:sz w:val="20"/>
    </w:rPr>
  </w:style>
  <w:style w:type="paragraph" w:customStyle="1" w:styleId="OmniPage257">
    <w:name w:val="OmniPage #257"/>
    <w:basedOn w:val="Normal"/>
    <w:pPr>
      <w:ind w:left="1482" w:right="298"/>
    </w:pPr>
    <w:rPr>
      <w:noProof/>
      <w:sz w:val="20"/>
    </w:rPr>
  </w:style>
  <w:style w:type="paragraph" w:customStyle="1" w:styleId="Style1">
    <w:name w:val="Style 1"/>
    <w:basedOn w:val="Normal"/>
    <w:rsid w:val="00A04FD8"/>
    <w:pPr>
      <w:widowControl w:val="0"/>
    </w:pPr>
    <w:rPr>
      <w:rFonts w:ascii="Times New Roman" w:hAnsi="Times New Roman"/>
      <w:noProof/>
      <w:color w:val="000000"/>
      <w:sz w:val="20"/>
    </w:rPr>
  </w:style>
  <w:style w:type="paragraph" w:styleId="BalloonText">
    <w:name w:val="Balloon Text"/>
    <w:basedOn w:val="Normal"/>
    <w:semiHidden/>
    <w:rsid w:val="00A244BE"/>
    <w:rPr>
      <w:rFonts w:ascii="Tahoma" w:hAnsi="Tahoma" w:cs="Tahoma"/>
      <w:sz w:val="16"/>
      <w:szCs w:val="16"/>
    </w:rPr>
  </w:style>
  <w:style w:type="paragraph" w:customStyle="1" w:styleId="DefaultText">
    <w:name w:val="Default Text"/>
    <w:basedOn w:val="Normal"/>
    <w:rsid w:val="00E12D98"/>
    <w:pPr>
      <w:widowControl w:val="0"/>
    </w:pPr>
    <w:rPr>
      <w:rFonts w:ascii="Times New Roman" w:hAnsi="Times New Roman"/>
      <w:snapToGrid w:val="0"/>
      <w:sz w:val="24"/>
    </w:rPr>
  </w:style>
  <w:style w:type="paragraph" w:styleId="ListParagraph">
    <w:name w:val="List Paragraph"/>
    <w:basedOn w:val="Normal"/>
    <w:uiPriority w:val="34"/>
    <w:qFormat/>
    <w:rsid w:val="00890C2F"/>
    <w:pPr>
      <w:spacing w:after="200" w:line="276" w:lineRule="auto"/>
      <w:ind w:left="720"/>
      <w:contextualSpacing/>
    </w:pPr>
    <w:rPr>
      <w:rFonts w:ascii="Calibri" w:hAnsi="Calibri"/>
      <w:szCs w:val="22"/>
    </w:rPr>
  </w:style>
  <w:style w:type="paragraph" w:styleId="FootnoteText">
    <w:name w:val="footnote text"/>
    <w:basedOn w:val="Normal"/>
    <w:link w:val="FootnoteTextChar"/>
    <w:semiHidden/>
    <w:rsid w:val="00890C2F"/>
    <w:rPr>
      <w:rFonts w:ascii="Calibri" w:hAnsi="Calibri"/>
      <w:sz w:val="20"/>
    </w:rPr>
  </w:style>
  <w:style w:type="character" w:customStyle="1" w:styleId="FootnoteTextChar">
    <w:name w:val="Footnote Text Char"/>
    <w:link w:val="FootnoteText"/>
    <w:semiHidden/>
    <w:locked/>
    <w:rsid w:val="00890C2F"/>
    <w:rPr>
      <w:rFonts w:ascii="Calibri" w:hAnsi="Calibri"/>
      <w:lang w:val="en-US" w:eastAsia="en-US" w:bidi="ar-SA"/>
    </w:rPr>
  </w:style>
  <w:style w:type="character" w:styleId="FootnoteReference">
    <w:name w:val="footnote reference"/>
    <w:semiHidden/>
    <w:rsid w:val="00890C2F"/>
    <w:rPr>
      <w:rFonts w:cs="Times New Roman"/>
      <w:vertAlign w:val="superscript"/>
    </w:rPr>
  </w:style>
  <w:style w:type="character" w:styleId="Hyperlink">
    <w:name w:val="Hyperlink"/>
    <w:rsid w:val="00890C2F"/>
    <w:rPr>
      <w:rFonts w:cs="Times New Roman"/>
      <w:color w:val="0000FF"/>
      <w:u w:val="single"/>
    </w:rPr>
  </w:style>
  <w:style w:type="paragraph" w:styleId="NormalWeb">
    <w:name w:val="Normal (Web)"/>
    <w:basedOn w:val="Normal"/>
    <w:rsid w:val="00890C2F"/>
    <w:pPr>
      <w:spacing w:after="300" w:line="360" w:lineRule="atLeast"/>
    </w:pPr>
    <w:rPr>
      <w:rFonts w:ascii="Times New Roman" w:eastAsia="Calibri" w:hAnsi="Times New Roman"/>
      <w:sz w:val="24"/>
      <w:szCs w:val="24"/>
    </w:rPr>
  </w:style>
  <w:style w:type="paragraph" w:customStyle="1" w:styleId="Default">
    <w:name w:val="Default"/>
    <w:rsid w:val="00141973"/>
    <w:pPr>
      <w:autoSpaceDE w:val="0"/>
      <w:autoSpaceDN w:val="0"/>
      <w:adjustRightInd w:val="0"/>
    </w:pPr>
    <w:rPr>
      <w:color w:val="000000"/>
      <w:sz w:val="24"/>
      <w:szCs w:val="24"/>
    </w:rPr>
  </w:style>
  <w:style w:type="paragraph" w:customStyle="1" w:styleId="Rule-Sub-Sub-Section">
    <w:name w:val="Rule - Sub-Sub-Section"/>
    <w:basedOn w:val="Normal"/>
    <w:link w:val="Rule-Sub-Sub-SectionChar"/>
    <w:qFormat/>
    <w:rsid w:val="002B2686"/>
    <w:pPr>
      <w:keepLines/>
      <w:spacing w:before="100" w:beforeAutospacing="1" w:after="220"/>
      <w:ind w:left="2880" w:hanging="720"/>
    </w:pPr>
    <w:rPr>
      <w:rFonts w:ascii="Times New Roman" w:eastAsia="Calibri" w:hAnsi="Times New Roman"/>
      <w:sz w:val="24"/>
      <w:szCs w:val="22"/>
    </w:rPr>
  </w:style>
  <w:style w:type="character" w:customStyle="1" w:styleId="Rule-Sub-Sub-SectionChar">
    <w:name w:val="Rule - Sub-Sub-Section Char"/>
    <w:link w:val="Rule-Sub-Sub-Section"/>
    <w:rsid w:val="002B2686"/>
    <w:rPr>
      <w:rFonts w:eastAsia="Calibri"/>
      <w:sz w:val="24"/>
      <w:szCs w:val="22"/>
    </w:rPr>
  </w:style>
  <w:style w:type="paragraph" w:customStyle="1" w:styleId="Rule-Sub-Section">
    <w:name w:val="Rule - Sub-Section"/>
    <w:basedOn w:val="Normal"/>
    <w:link w:val="Rule-Sub-SectionChar"/>
    <w:qFormat/>
    <w:rsid w:val="001E0B73"/>
    <w:pPr>
      <w:keepLines/>
      <w:numPr>
        <w:numId w:val="2"/>
      </w:numPr>
      <w:spacing w:before="220" w:after="220"/>
      <w:ind w:left="1440" w:firstLine="0"/>
    </w:pPr>
    <w:rPr>
      <w:rFonts w:ascii="Times New Roman" w:hAnsi="Times New Roman"/>
      <w:color w:val="000000"/>
      <w:sz w:val="24"/>
      <w:szCs w:val="22"/>
    </w:rPr>
  </w:style>
  <w:style w:type="character" w:customStyle="1" w:styleId="Rule-Sub-SectionChar">
    <w:name w:val="Rule - Sub-Section Char"/>
    <w:link w:val="Rule-Sub-Section"/>
    <w:rsid w:val="001E0B73"/>
    <w:rPr>
      <w:color w:val="000000"/>
      <w:sz w:val="24"/>
      <w:szCs w:val="22"/>
    </w:rPr>
  </w:style>
  <w:style w:type="character" w:styleId="CommentReference">
    <w:name w:val="annotation reference"/>
    <w:basedOn w:val="DefaultParagraphFont"/>
    <w:rsid w:val="00C525A2"/>
    <w:rPr>
      <w:sz w:val="16"/>
      <w:szCs w:val="16"/>
    </w:rPr>
  </w:style>
  <w:style w:type="paragraph" w:styleId="CommentText">
    <w:name w:val="annotation text"/>
    <w:basedOn w:val="Normal"/>
    <w:link w:val="CommentTextChar"/>
    <w:uiPriority w:val="99"/>
    <w:rsid w:val="00C525A2"/>
    <w:rPr>
      <w:sz w:val="20"/>
    </w:rPr>
  </w:style>
  <w:style w:type="character" w:customStyle="1" w:styleId="CommentTextChar">
    <w:name w:val="Comment Text Char"/>
    <w:basedOn w:val="DefaultParagraphFont"/>
    <w:link w:val="CommentText"/>
    <w:uiPriority w:val="99"/>
    <w:rsid w:val="00C525A2"/>
    <w:rPr>
      <w:rFonts w:ascii="Arial" w:hAnsi="Arial"/>
    </w:rPr>
  </w:style>
  <w:style w:type="paragraph" w:styleId="CommentSubject">
    <w:name w:val="annotation subject"/>
    <w:basedOn w:val="CommentText"/>
    <w:next w:val="CommentText"/>
    <w:link w:val="CommentSubjectChar"/>
    <w:rsid w:val="00C525A2"/>
    <w:rPr>
      <w:b/>
      <w:bCs/>
    </w:rPr>
  </w:style>
  <w:style w:type="character" w:customStyle="1" w:styleId="CommentSubjectChar">
    <w:name w:val="Comment Subject Char"/>
    <w:basedOn w:val="CommentTextChar"/>
    <w:link w:val="CommentSubject"/>
    <w:rsid w:val="00C525A2"/>
    <w:rPr>
      <w:rFonts w:ascii="Arial" w:hAnsi="Arial"/>
      <w:b/>
      <w:bCs/>
    </w:rPr>
  </w:style>
  <w:style w:type="paragraph" w:customStyle="1" w:styleId="Rule-Section">
    <w:name w:val="Rule - Section"/>
    <w:basedOn w:val="Normal"/>
    <w:next w:val="Rule-Sub-Sub-Section"/>
    <w:link w:val="Rule-SectionChar"/>
    <w:qFormat/>
    <w:rsid w:val="001135BA"/>
    <w:pPr>
      <w:keepNext/>
      <w:keepLines/>
      <w:numPr>
        <w:numId w:val="3"/>
      </w:numPr>
      <w:spacing w:before="660" w:after="220"/>
      <w:ind w:left="2160" w:hanging="1440"/>
      <w:outlineLvl w:val="0"/>
    </w:pPr>
    <w:rPr>
      <w:rFonts w:ascii="Times New Roman" w:hAnsi="Times New Roman"/>
      <w:caps/>
      <w:color w:val="000000"/>
      <w:sz w:val="24"/>
      <w:szCs w:val="22"/>
    </w:rPr>
  </w:style>
  <w:style w:type="character" w:customStyle="1" w:styleId="Rule-SectionChar">
    <w:name w:val="Rule - Section Char"/>
    <w:basedOn w:val="DefaultParagraphFont"/>
    <w:link w:val="Rule-Section"/>
    <w:rsid w:val="001135BA"/>
    <w:rPr>
      <w:caps/>
      <w:color w:val="000000"/>
      <w:sz w:val="24"/>
      <w:szCs w:val="22"/>
    </w:rPr>
  </w:style>
  <w:style w:type="character" w:customStyle="1" w:styleId="FooterChar">
    <w:name w:val="Footer Char"/>
    <w:basedOn w:val="DefaultParagraphFont"/>
    <w:link w:val="Footer"/>
    <w:uiPriority w:val="99"/>
    <w:rsid w:val="005C3FE3"/>
    <w:rPr>
      <w:rFonts w:ascii="Arial" w:hAnsi="Arial"/>
      <w:sz w:val="22"/>
    </w:rPr>
  </w:style>
  <w:style w:type="paragraph" w:styleId="BodyTextIndent">
    <w:name w:val="Body Text Indent"/>
    <w:basedOn w:val="Normal"/>
    <w:link w:val="BodyTextIndentChar"/>
    <w:unhideWhenUsed/>
    <w:rsid w:val="00260A0D"/>
    <w:pPr>
      <w:spacing w:after="120"/>
      <w:ind w:left="360"/>
    </w:pPr>
  </w:style>
  <w:style w:type="character" w:customStyle="1" w:styleId="BodyTextIndentChar">
    <w:name w:val="Body Text Indent Char"/>
    <w:basedOn w:val="DefaultParagraphFont"/>
    <w:link w:val="BodyTextIndent"/>
    <w:rsid w:val="00260A0D"/>
    <w:rPr>
      <w:rFonts w:ascii="Arial" w:hAnsi="Arial"/>
      <w:sz w:val="22"/>
    </w:rPr>
  </w:style>
  <w:style w:type="paragraph" w:styleId="Revision">
    <w:name w:val="Revision"/>
    <w:hidden/>
    <w:uiPriority w:val="99"/>
    <w:semiHidden/>
    <w:rsid w:val="002E1258"/>
    <w:rPr>
      <w:rFonts w:ascii="Arial" w:hAnsi="Arial"/>
      <w:sz w:val="22"/>
    </w:rPr>
  </w:style>
  <w:style w:type="character" w:customStyle="1" w:styleId="HeaderChar">
    <w:name w:val="Header Char"/>
    <w:basedOn w:val="DefaultParagraphFont"/>
    <w:link w:val="Header"/>
    <w:uiPriority w:val="99"/>
    <w:rsid w:val="007672B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29160">
      <w:bodyDiv w:val="1"/>
      <w:marLeft w:val="0"/>
      <w:marRight w:val="0"/>
      <w:marTop w:val="0"/>
      <w:marBottom w:val="0"/>
      <w:divBdr>
        <w:top w:val="none" w:sz="0" w:space="0" w:color="auto"/>
        <w:left w:val="none" w:sz="0" w:space="0" w:color="auto"/>
        <w:bottom w:val="none" w:sz="0" w:space="0" w:color="auto"/>
        <w:right w:val="none" w:sz="0" w:space="0" w:color="auto"/>
      </w:divBdr>
    </w:div>
    <w:div w:id="683630632">
      <w:bodyDiv w:val="1"/>
      <w:marLeft w:val="0"/>
      <w:marRight w:val="0"/>
      <w:marTop w:val="0"/>
      <w:marBottom w:val="0"/>
      <w:divBdr>
        <w:top w:val="none" w:sz="0" w:space="0" w:color="auto"/>
        <w:left w:val="none" w:sz="0" w:space="0" w:color="auto"/>
        <w:bottom w:val="none" w:sz="0" w:space="0" w:color="auto"/>
        <w:right w:val="none" w:sz="0" w:space="0" w:color="auto"/>
      </w:divBdr>
    </w:div>
    <w:div w:id="694384167">
      <w:bodyDiv w:val="1"/>
      <w:marLeft w:val="0"/>
      <w:marRight w:val="0"/>
      <w:marTop w:val="0"/>
      <w:marBottom w:val="0"/>
      <w:divBdr>
        <w:top w:val="none" w:sz="0" w:space="0" w:color="auto"/>
        <w:left w:val="none" w:sz="0" w:space="0" w:color="auto"/>
        <w:bottom w:val="none" w:sz="0" w:space="0" w:color="auto"/>
        <w:right w:val="none" w:sz="0" w:space="0" w:color="auto"/>
      </w:divBdr>
    </w:div>
    <w:div w:id="694963949">
      <w:bodyDiv w:val="1"/>
      <w:marLeft w:val="0"/>
      <w:marRight w:val="0"/>
      <w:marTop w:val="0"/>
      <w:marBottom w:val="0"/>
      <w:divBdr>
        <w:top w:val="none" w:sz="0" w:space="0" w:color="auto"/>
        <w:left w:val="none" w:sz="0" w:space="0" w:color="auto"/>
        <w:bottom w:val="none" w:sz="0" w:space="0" w:color="auto"/>
        <w:right w:val="none" w:sz="0" w:space="0" w:color="auto"/>
      </w:divBdr>
    </w:div>
    <w:div w:id="738206838">
      <w:bodyDiv w:val="1"/>
      <w:marLeft w:val="0"/>
      <w:marRight w:val="0"/>
      <w:marTop w:val="0"/>
      <w:marBottom w:val="0"/>
      <w:divBdr>
        <w:top w:val="none" w:sz="0" w:space="0" w:color="auto"/>
        <w:left w:val="none" w:sz="0" w:space="0" w:color="auto"/>
        <w:bottom w:val="none" w:sz="0" w:space="0" w:color="auto"/>
        <w:right w:val="none" w:sz="0" w:space="0" w:color="auto"/>
      </w:divBdr>
    </w:div>
    <w:div w:id="773474960">
      <w:bodyDiv w:val="1"/>
      <w:marLeft w:val="0"/>
      <w:marRight w:val="0"/>
      <w:marTop w:val="0"/>
      <w:marBottom w:val="0"/>
      <w:divBdr>
        <w:top w:val="none" w:sz="0" w:space="0" w:color="auto"/>
        <w:left w:val="none" w:sz="0" w:space="0" w:color="auto"/>
        <w:bottom w:val="none" w:sz="0" w:space="0" w:color="auto"/>
        <w:right w:val="none" w:sz="0" w:space="0" w:color="auto"/>
      </w:divBdr>
    </w:div>
    <w:div w:id="908729794">
      <w:bodyDiv w:val="1"/>
      <w:marLeft w:val="0"/>
      <w:marRight w:val="0"/>
      <w:marTop w:val="0"/>
      <w:marBottom w:val="0"/>
      <w:divBdr>
        <w:top w:val="none" w:sz="0" w:space="0" w:color="auto"/>
        <w:left w:val="none" w:sz="0" w:space="0" w:color="auto"/>
        <w:bottom w:val="none" w:sz="0" w:space="0" w:color="auto"/>
        <w:right w:val="none" w:sz="0" w:space="0" w:color="auto"/>
      </w:divBdr>
    </w:div>
    <w:div w:id="988095130">
      <w:bodyDiv w:val="1"/>
      <w:marLeft w:val="0"/>
      <w:marRight w:val="0"/>
      <w:marTop w:val="0"/>
      <w:marBottom w:val="0"/>
      <w:divBdr>
        <w:top w:val="none" w:sz="0" w:space="0" w:color="auto"/>
        <w:left w:val="none" w:sz="0" w:space="0" w:color="auto"/>
        <w:bottom w:val="none" w:sz="0" w:space="0" w:color="auto"/>
        <w:right w:val="none" w:sz="0" w:space="0" w:color="auto"/>
      </w:divBdr>
    </w:div>
    <w:div w:id="1038168563">
      <w:bodyDiv w:val="1"/>
      <w:marLeft w:val="0"/>
      <w:marRight w:val="0"/>
      <w:marTop w:val="0"/>
      <w:marBottom w:val="0"/>
      <w:divBdr>
        <w:top w:val="none" w:sz="0" w:space="0" w:color="auto"/>
        <w:left w:val="none" w:sz="0" w:space="0" w:color="auto"/>
        <w:bottom w:val="none" w:sz="0" w:space="0" w:color="auto"/>
        <w:right w:val="none" w:sz="0" w:space="0" w:color="auto"/>
      </w:divBdr>
    </w:div>
    <w:div w:id="1137189600">
      <w:bodyDiv w:val="1"/>
      <w:marLeft w:val="0"/>
      <w:marRight w:val="0"/>
      <w:marTop w:val="0"/>
      <w:marBottom w:val="0"/>
      <w:divBdr>
        <w:top w:val="none" w:sz="0" w:space="0" w:color="auto"/>
        <w:left w:val="none" w:sz="0" w:space="0" w:color="auto"/>
        <w:bottom w:val="none" w:sz="0" w:space="0" w:color="auto"/>
        <w:right w:val="none" w:sz="0" w:space="0" w:color="auto"/>
      </w:divBdr>
    </w:div>
    <w:div w:id="1376277154">
      <w:bodyDiv w:val="1"/>
      <w:marLeft w:val="0"/>
      <w:marRight w:val="0"/>
      <w:marTop w:val="0"/>
      <w:marBottom w:val="0"/>
      <w:divBdr>
        <w:top w:val="none" w:sz="0" w:space="0" w:color="auto"/>
        <w:left w:val="none" w:sz="0" w:space="0" w:color="auto"/>
        <w:bottom w:val="none" w:sz="0" w:space="0" w:color="auto"/>
        <w:right w:val="none" w:sz="0" w:space="0" w:color="auto"/>
      </w:divBdr>
    </w:div>
    <w:div w:id="1460687204">
      <w:bodyDiv w:val="1"/>
      <w:marLeft w:val="0"/>
      <w:marRight w:val="0"/>
      <w:marTop w:val="0"/>
      <w:marBottom w:val="0"/>
      <w:divBdr>
        <w:top w:val="none" w:sz="0" w:space="0" w:color="auto"/>
        <w:left w:val="none" w:sz="0" w:space="0" w:color="auto"/>
        <w:bottom w:val="none" w:sz="0" w:space="0" w:color="auto"/>
        <w:right w:val="none" w:sz="0" w:space="0" w:color="auto"/>
      </w:divBdr>
    </w:div>
    <w:div w:id="1684892246">
      <w:bodyDiv w:val="1"/>
      <w:marLeft w:val="0"/>
      <w:marRight w:val="0"/>
      <w:marTop w:val="0"/>
      <w:marBottom w:val="0"/>
      <w:divBdr>
        <w:top w:val="none" w:sz="0" w:space="0" w:color="auto"/>
        <w:left w:val="none" w:sz="0" w:space="0" w:color="auto"/>
        <w:bottom w:val="none" w:sz="0" w:space="0" w:color="auto"/>
        <w:right w:val="none" w:sz="0" w:space="0" w:color="auto"/>
      </w:divBdr>
    </w:div>
    <w:div w:id="1753971233">
      <w:bodyDiv w:val="1"/>
      <w:marLeft w:val="0"/>
      <w:marRight w:val="0"/>
      <w:marTop w:val="0"/>
      <w:marBottom w:val="0"/>
      <w:divBdr>
        <w:top w:val="none" w:sz="0" w:space="0" w:color="auto"/>
        <w:left w:val="none" w:sz="0" w:space="0" w:color="auto"/>
        <w:bottom w:val="none" w:sz="0" w:space="0" w:color="auto"/>
        <w:right w:val="none" w:sz="0" w:space="0" w:color="auto"/>
      </w:divBdr>
    </w:div>
    <w:div w:id="19251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1486B.B5CBD4F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8CD8-B326-48BF-9934-72325927F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6A51F-D4F5-44DC-8EB0-3D917747E7D9}">
  <ds:schemaRefs>
    <ds:schemaRef ds:uri="http://schemas.microsoft.com/sharepoint/v3/contenttype/forms"/>
  </ds:schemaRefs>
</ds:datastoreItem>
</file>

<file path=customXml/itemProps3.xml><?xml version="1.0" encoding="utf-8"?>
<ds:datastoreItem xmlns:ds="http://schemas.openxmlformats.org/officeDocument/2006/customXml" ds:itemID="{9CD7F02B-B695-42A1-8AB1-4CB603C176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28991C-8721-49A1-A376-FF4A4BF6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Comments and Responses</vt:lpstr>
    </vt:vector>
  </TitlesOfParts>
  <Company>PFR</Company>
  <LinksUpToDate>false</LinksUpToDate>
  <CharactersWithSpaces>42856</CharactersWithSpaces>
  <SharedDoc>false</SharedDoc>
  <HLinks>
    <vt:vector size="6" baseType="variant">
      <vt:variant>
        <vt:i4>3276901</vt:i4>
      </vt:variant>
      <vt:variant>
        <vt:i4>0</vt:i4>
      </vt:variant>
      <vt:variant>
        <vt:i4>0</vt:i4>
      </vt:variant>
      <vt:variant>
        <vt:i4>5</vt:i4>
      </vt:variant>
      <vt:variant>
        <vt:lpwstr>https://www.cms.gov/Research-Statistics-Data-and-Systems/Computer-Data-and-Systems/Privacy/Researchers.html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and Responses</dc:title>
  <dc:creator>Alan M. Prysunka</dc:creator>
  <cp:lastModifiedBy>Bonsant, Kimberly</cp:lastModifiedBy>
  <cp:revision>2</cp:revision>
  <cp:lastPrinted>2020-09-30T19:11:00Z</cp:lastPrinted>
  <dcterms:created xsi:type="dcterms:W3CDTF">2020-10-01T12:40:00Z</dcterms:created>
  <dcterms:modified xsi:type="dcterms:W3CDTF">2020-10-01T12:40:00Z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