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7F66A" w14:textId="2F2466A3" w:rsidR="00824B4D" w:rsidRDefault="00824B4D" w:rsidP="00A979E1">
      <w:pPr>
        <w:pStyle w:val="Title"/>
        <w:rPr>
          <w:rFonts w:ascii="Calibri" w:hAnsi="Calibri" w:cs="Calibri"/>
          <w:b/>
          <w:color w:val="auto"/>
          <w:sz w:val="32"/>
          <w:szCs w:val="32"/>
        </w:rPr>
      </w:pPr>
      <w:bookmarkStart w:id="0" w:name="_GoBack"/>
      <w:bookmarkEnd w:id="0"/>
      <w:r>
        <w:rPr>
          <w:noProof/>
          <w:lang w:eastAsia="en-US"/>
        </w:rPr>
        <w:drawing>
          <wp:inline distT="0" distB="0" distL="0" distR="0" wp14:anchorId="228257E7" wp14:editId="7D7306D7">
            <wp:extent cx="2474446" cy="457307"/>
            <wp:effectExtent l="0" t="0" r="2540" b="0"/>
            <wp:docPr id="1030" name="Picture 6" descr="logo of Maine Quality Forum">
              <a:extLst xmlns:a="http://schemas.openxmlformats.org/drawingml/2006/main">
                <a:ext uri="{FF2B5EF4-FFF2-40B4-BE49-F238E27FC236}">
                  <a16:creationId xmlns:a16="http://schemas.microsoft.com/office/drawing/2014/main" id="{17EA4470-13D5-4BA6-9372-6E643CECC8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logo of Maine Quality Forum">
                      <a:extLst>
                        <a:ext uri="{FF2B5EF4-FFF2-40B4-BE49-F238E27FC236}">
                          <a16:creationId xmlns:a16="http://schemas.microsoft.com/office/drawing/2014/main" id="{17EA4470-13D5-4BA6-9372-6E643CECC812}"/>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4446" cy="45730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47D4A33" w14:textId="77777777" w:rsidR="00824B4D" w:rsidRDefault="00824B4D" w:rsidP="00A979E1">
      <w:pPr>
        <w:pStyle w:val="Title"/>
        <w:rPr>
          <w:rFonts w:ascii="Calibri" w:hAnsi="Calibri" w:cs="Calibri"/>
          <w:b/>
          <w:color w:val="auto"/>
          <w:sz w:val="32"/>
          <w:szCs w:val="32"/>
        </w:rPr>
      </w:pPr>
    </w:p>
    <w:p w14:paraId="3F0390B1" w14:textId="5C79B763" w:rsidR="00A979E1" w:rsidRDefault="002460C6" w:rsidP="00A979E1">
      <w:pPr>
        <w:pStyle w:val="Title"/>
        <w:rPr>
          <w:rFonts w:ascii="Calibri" w:hAnsi="Calibri" w:cs="Calibri"/>
          <w:b/>
          <w:color w:val="auto"/>
          <w:sz w:val="32"/>
          <w:szCs w:val="32"/>
        </w:rPr>
      </w:pPr>
      <w:r w:rsidRPr="00951F5F">
        <w:rPr>
          <w:rFonts w:ascii="Calibri" w:hAnsi="Calibri" w:cs="Calibri"/>
          <w:b/>
          <w:color w:val="auto"/>
          <w:sz w:val="32"/>
          <w:szCs w:val="32"/>
        </w:rPr>
        <w:t>Public Law Ch. 244 Advisory Committee Meeting</w:t>
      </w:r>
      <w:r w:rsidR="00951F5F">
        <w:rPr>
          <w:rFonts w:ascii="Calibri" w:hAnsi="Calibri" w:cs="Calibri"/>
          <w:b/>
          <w:color w:val="auto"/>
          <w:sz w:val="32"/>
          <w:szCs w:val="32"/>
        </w:rPr>
        <w:t xml:space="preserve"> </w:t>
      </w:r>
    </w:p>
    <w:p w14:paraId="06D2BE3B" w14:textId="77777777" w:rsidR="009B7AD0" w:rsidRPr="00951F5F" w:rsidRDefault="009B7AD0" w:rsidP="00A979E1">
      <w:pPr>
        <w:pStyle w:val="Title"/>
        <w:rPr>
          <w:rFonts w:ascii="Calibri" w:hAnsi="Calibri" w:cs="Calibri"/>
          <w:b/>
          <w:color w:val="auto"/>
        </w:rPr>
      </w:pPr>
      <w:r>
        <w:rPr>
          <w:rFonts w:ascii="Calibri" w:hAnsi="Calibri" w:cs="Calibri"/>
          <w:b/>
          <w:color w:val="auto"/>
          <w:sz w:val="32"/>
          <w:szCs w:val="32"/>
        </w:rPr>
        <w:t>Summary Notes</w:t>
      </w:r>
    </w:p>
    <w:p w14:paraId="5DD88E6F" w14:textId="77777777" w:rsidR="00A979E1" w:rsidRPr="002460C6" w:rsidRDefault="002460C6" w:rsidP="00A979E1">
      <w:pPr>
        <w:pStyle w:val="Heading2"/>
        <w:rPr>
          <w:rFonts w:ascii="Calibri" w:hAnsi="Calibri" w:cs="Calibri"/>
          <w:color w:val="auto"/>
        </w:rPr>
      </w:pPr>
      <w:r w:rsidRPr="002460C6">
        <w:rPr>
          <w:rFonts w:ascii="Calibri" w:hAnsi="Calibri" w:cs="Calibri"/>
          <w:color w:val="auto"/>
        </w:rPr>
        <w:t>October 10, 2019</w:t>
      </w:r>
      <w:r w:rsidR="00A979E1" w:rsidRPr="002460C6">
        <w:rPr>
          <w:rStyle w:val="SubtleEmphasis"/>
          <w:rFonts w:ascii="Calibri" w:hAnsi="Calibri" w:cs="Calibri"/>
        </w:rPr>
        <w:t xml:space="preserve"> </w:t>
      </w:r>
      <w:r w:rsidR="00A979E1" w:rsidRPr="002460C6">
        <w:rPr>
          <w:rStyle w:val="SubtleEmphasis"/>
          <w:rFonts w:ascii="Calibri" w:hAnsi="Calibri" w:cs="Calibri"/>
          <w:i w:val="0"/>
        </w:rPr>
        <w:t xml:space="preserve">| </w:t>
      </w:r>
      <w:r w:rsidRPr="002460C6">
        <w:rPr>
          <w:rStyle w:val="SubtleEmphasis"/>
          <w:rFonts w:ascii="Calibri" w:hAnsi="Calibri" w:cs="Calibri"/>
          <w:i w:val="0"/>
        </w:rPr>
        <w:t>3:30 – 5:00 PM</w:t>
      </w:r>
      <w:r w:rsidR="00A979E1" w:rsidRPr="002460C6">
        <w:rPr>
          <w:rFonts w:ascii="Calibri" w:hAnsi="Calibri" w:cs="Calibri"/>
          <w:color w:val="auto"/>
        </w:rPr>
        <w:t xml:space="preserve"> | </w:t>
      </w:r>
      <w:r w:rsidRPr="002460C6">
        <w:rPr>
          <w:rFonts w:ascii="Calibri" w:hAnsi="Calibri" w:cs="Calibri"/>
          <w:color w:val="auto"/>
        </w:rPr>
        <w:t>151 Capitol Street, Augusta, ME</w:t>
      </w:r>
    </w:p>
    <w:p w14:paraId="57DD3095" w14:textId="77777777" w:rsidR="00A979E1" w:rsidRPr="002460C6" w:rsidRDefault="002460C6" w:rsidP="00A979E1">
      <w:pPr>
        <w:pStyle w:val="Heading1"/>
        <w:rPr>
          <w:rFonts w:ascii="Calibri" w:hAnsi="Calibri" w:cs="Calibri"/>
          <w:color w:val="auto"/>
        </w:rPr>
      </w:pPr>
      <w:r>
        <w:rPr>
          <w:rFonts w:ascii="Calibri" w:hAnsi="Calibri" w:cs="Calibri"/>
          <w:color w:val="auto"/>
        </w:rPr>
        <w:t>Purpose</w:t>
      </w:r>
    </w:p>
    <w:p w14:paraId="5B9DB26C" w14:textId="77777777" w:rsidR="00A979E1" w:rsidRDefault="002460C6" w:rsidP="002460C6">
      <w:pPr>
        <w:rPr>
          <w:rFonts w:ascii="Calibri" w:hAnsi="Calibri" w:cs="Calibri"/>
        </w:rPr>
      </w:pPr>
      <w:r>
        <w:rPr>
          <w:rFonts w:ascii="Calibri" w:hAnsi="Calibri" w:cs="Calibri"/>
        </w:rPr>
        <w:t xml:space="preserve">Convene Advisory Committee charged with providing input to Maine Quality Forum on the development of the mandated annual report on primary care spending in Maine. </w:t>
      </w:r>
    </w:p>
    <w:p w14:paraId="4BD2C176" w14:textId="77777777" w:rsidR="00593C07" w:rsidRPr="00FD16F4" w:rsidRDefault="00950247" w:rsidP="00950247">
      <w:pPr>
        <w:pStyle w:val="Heading1"/>
        <w:rPr>
          <w:rFonts w:ascii="Calibri" w:hAnsi="Calibri" w:cs="Calibri"/>
          <w:color w:val="0070C0"/>
        </w:rPr>
      </w:pPr>
      <w:r w:rsidRPr="00FD16F4">
        <w:rPr>
          <w:rFonts w:ascii="Calibri" w:hAnsi="Calibri" w:cs="Calibri"/>
          <w:color w:val="0070C0"/>
        </w:rPr>
        <w:t>Attendees</w:t>
      </w:r>
    </w:p>
    <w:tbl>
      <w:tblPr>
        <w:tblStyle w:val="TableGridLight"/>
        <w:tblW w:w="14400" w:type="dxa"/>
        <w:tblInd w:w="-5"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4400"/>
      </w:tblGrid>
      <w:tr w:rsidR="00FD16F4" w14:paraId="0FD04986" w14:textId="77777777" w:rsidTr="00024201">
        <w:trPr>
          <w:trHeight w:val="1503"/>
        </w:trPr>
        <w:tc>
          <w:tcPr>
            <w:tcW w:w="13680" w:type="dxa"/>
          </w:tcPr>
          <w:p w14:paraId="21864588" w14:textId="1A578AC6" w:rsidR="00983117" w:rsidRPr="00024201" w:rsidRDefault="00FD16F4" w:rsidP="00950247">
            <w:pPr>
              <w:ind w:left="0"/>
              <w:rPr>
                <w:rFonts w:ascii="Calibri" w:hAnsi="Calibri" w:cs="Calibri"/>
                <w:b/>
                <w:caps/>
              </w:rPr>
            </w:pPr>
            <w:r w:rsidRPr="00950247">
              <w:rPr>
                <w:rFonts w:ascii="Calibri" w:hAnsi="Calibri" w:cs="Calibri"/>
                <w:b/>
                <w:caps/>
              </w:rPr>
              <w:t>IN PERSON:</w:t>
            </w:r>
            <w:r>
              <w:rPr>
                <w:rFonts w:ascii="Calibri" w:hAnsi="Calibri" w:cs="Calibri"/>
                <w:b/>
                <w:caps/>
              </w:rPr>
              <w:t xml:space="preserve"> </w:t>
            </w:r>
            <w:r w:rsidR="00024201">
              <w:rPr>
                <w:rFonts w:ascii="Calibri" w:hAnsi="Calibri" w:cs="Calibri"/>
                <w:b/>
                <w:caps/>
              </w:rPr>
              <w:t xml:space="preserve"> </w:t>
            </w:r>
            <w:r w:rsidR="00983117">
              <w:rPr>
                <w:rFonts w:ascii="Calibri" w:hAnsi="Calibri" w:cs="Calibri"/>
              </w:rPr>
              <w:t>Senator Linda Sanborn, Lisa Letourneau, Neil Korsen</w:t>
            </w:r>
            <w:r>
              <w:rPr>
                <w:rFonts w:ascii="Calibri" w:hAnsi="Calibri" w:cs="Calibri"/>
              </w:rPr>
              <w:t>, Lisa Harvey McPherson, Joan Orr, And</w:t>
            </w:r>
            <w:r w:rsidR="00320721">
              <w:rPr>
                <w:rFonts w:ascii="Calibri" w:hAnsi="Calibri" w:cs="Calibri"/>
              </w:rPr>
              <w:t>rew</w:t>
            </w:r>
            <w:r>
              <w:rPr>
                <w:rFonts w:ascii="Calibri" w:hAnsi="Calibri" w:cs="Calibri"/>
              </w:rPr>
              <w:t xml:space="preserve"> McLean, Joanne Rawlings-Sekunda, Darcy Shargo, S</w:t>
            </w:r>
            <w:r w:rsidR="00983117">
              <w:rPr>
                <w:rFonts w:ascii="Calibri" w:hAnsi="Calibri" w:cs="Calibri"/>
              </w:rPr>
              <w:t>arah Calder, and Stephen Corral.</w:t>
            </w:r>
          </w:p>
          <w:p w14:paraId="127CDAF8" w14:textId="70BFD72D" w:rsidR="00FD16F4" w:rsidRPr="00024201" w:rsidRDefault="00FD16F4" w:rsidP="004119F1">
            <w:pPr>
              <w:ind w:left="0"/>
              <w:rPr>
                <w:rFonts w:ascii="Calibri" w:hAnsi="Calibri" w:cs="Calibri"/>
                <w:b/>
                <w:caps/>
              </w:rPr>
            </w:pPr>
            <w:r w:rsidRPr="00950247">
              <w:rPr>
                <w:rFonts w:ascii="Calibri" w:hAnsi="Calibri" w:cs="Calibri"/>
                <w:b/>
                <w:caps/>
              </w:rPr>
              <w:t>VIA PHONE:</w:t>
            </w:r>
            <w:r w:rsidR="00024201">
              <w:rPr>
                <w:rFonts w:ascii="Calibri" w:hAnsi="Calibri" w:cs="Calibri"/>
                <w:b/>
                <w:caps/>
              </w:rPr>
              <w:t xml:space="preserve"> </w:t>
            </w:r>
            <w:r>
              <w:rPr>
                <w:rFonts w:ascii="Calibri" w:hAnsi="Calibri" w:cs="Calibri"/>
              </w:rPr>
              <w:t xml:space="preserve">Katherine Pelletreau, </w:t>
            </w:r>
            <w:r w:rsidRPr="00C60141">
              <w:rPr>
                <w:rFonts w:ascii="Calibri" w:hAnsi="Calibri" w:cs="Calibri"/>
              </w:rPr>
              <w:t>Renee</w:t>
            </w:r>
            <w:r>
              <w:rPr>
                <w:rFonts w:ascii="Calibri" w:hAnsi="Calibri" w:cs="Calibri"/>
                <w:caps/>
              </w:rPr>
              <w:t xml:space="preserve"> F</w:t>
            </w:r>
            <w:r>
              <w:rPr>
                <w:rFonts w:ascii="Calibri" w:hAnsi="Calibri" w:cs="Calibri"/>
              </w:rPr>
              <w:t>ay-LeBlanc, Sara</w:t>
            </w:r>
            <w:r w:rsidRPr="00FD16F4">
              <w:rPr>
                <w:rFonts w:ascii="Calibri" w:hAnsi="Calibri" w:cs="Calibri"/>
              </w:rPr>
              <w:t xml:space="preserve"> Fitzge</w:t>
            </w:r>
            <w:r>
              <w:rPr>
                <w:rFonts w:ascii="Calibri" w:hAnsi="Calibri" w:cs="Calibri"/>
              </w:rPr>
              <w:t xml:space="preserve">rald Jon Fanburg, </w:t>
            </w:r>
          </w:p>
          <w:p w14:paraId="79E98CED" w14:textId="0A3128A8" w:rsidR="00983117" w:rsidRPr="00024201" w:rsidRDefault="00983117" w:rsidP="004119F1">
            <w:pPr>
              <w:ind w:left="0"/>
              <w:rPr>
                <w:rFonts w:ascii="Calibri" w:hAnsi="Calibri" w:cs="Calibri"/>
                <w:b/>
              </w:rPr>
            </w:pPr>
            <w:r>
              <w:rPr>
                <w:rFonts w:ascii="Calibri" w:hAnsi="Calibri" w:cs="Calibri"/>
                <w:b/>
              </w:rPr>
              <w:t>STAFF:</w:t>
            </w:r>
            <w:r w:rsidR="00024201">
              <w:rPr>
                <w:rFonts w:ascii="Calibri" w:hAnsi="Calibri" w:cs="Calibri"/>
                <w:b/>
              </w:rPr>
              <w:t xml:space="preserve"> </w:t>
            </w:r>
            <w:r>
              <w:rPr>
                <w:rFonts w:ascii="Calibri" w:hAnsi="Calibri" w:cs="Calibri"/>
              </w:rPr>
              <w:t>Karynlee Harrington, Judy Loren, Kim Fox, Carolyn Gray, Jenny MacKenzie, Cathy McGuire, and Tom Merrill.</w:t>
            </w:r>
          </w:p>
        </w:tc>
      </w:tr>
    </w:tbl>
    <w:p w14:paraId="44A16309" w14:textId="77777777" w:rsidR="00593C07" w:rsidRPr="00EE1DDE" w:rsidRDefault="00593C07" w:rsidP="00EE1DDE">
      <w:pPr>
        <w:spacing w:before="0" w:after="0"/>
        <w:ind w:left="0"/>
        <w:rPr>
          <w:rFonts w:ascii="Calibri" w:hAnsi="Calibri" w:cs="Calibri"/>
          <w:b/>
          <w:caps/>
          <w:sz w:val="16"/>
          <w:szCs w:val="16"/>
        </w:rPr>
      </w:pPr>
    </w:p>
    <w:tbl>
      <w:tblPr>
        <w:tblStyle w:val="Meetingminutes"/>
        <w:tblW w:w="14400" w:type="dxa"/>
        <w:tblBorders>
          <w:insideH w:val="single" w:sz="4" w:space="0" w:color="auto"/>
        </w:tblBorders>
        <w:tblLook w:val="04A0" w:firstRow="1" w:lastRow="0" w:firstColumn="1" w:lastColumn="0" w:noHBand="0" w:noVBand="1"/>
      </w:tblPr>
      <w:tblGrid>
        <w:gridCol w:w="3510"/>
        <w:gridCol w:w="10890"/>
      </w:tblGrid>
      <w:tr w:rsidR="007E5B16" w14:paraId="6C9E78A9" w14:textId="77777777" w:rsidTr="00024201">
        <w:trPr>
          <w:cnfStyle w:val="100000000000" w:firstRow="1" w:lastRow="0" w:firstColumn="0" w:lastColumn="0" w:oddVBand="0" w:evenVBand="0" w:oddHBand="0" w:evenHBand="0" w:firstRowFirstColumn="0" w:firstRowLastColumn="0" w:lastRowFirstColumn="0" w:lastRowLastColumn="0"/>
          <w:trHeight w:val="54"/>
        </w:trPr>
        <w:tc>
          <w:tcPr>
            <w:tcW w:w="3510" w:type="dxa"/>
            <w:tcBorders>
              <w:bottom w:val="triple" w:sz="4" w:space="0" w:color="auto"/>
              <w:right w:val="single" w:sz="6" w:space="0" w:color="auto"/>
            </w:tcBorders>
          </w:tcPr>
          <w:p w14:paraId="7E612370" w14:textId="4F84AD4D" w:rsidR="007E5B16" w:rsidRPr="007E5B16" w:rsidRDefault="007E5B16" w:rsidP="00024201">
            <w:pPr>
              <w:rPr>
                <w:rFonts w:ascii="Calibri" w:hAnsi="Calibri" w:cs="Calibri"/>
                <w:sz w:val="28"/>
                <w:szCs w:val="28"/>
              </w:rPr>
            </w:pPr>
            <w:r w:rsidRPr="007E5B16">
              <w:rPr>
                <w:rFonts w:ascii="Calibri" w:hAnsi="Calibri" w:cs="Calibri"/>
                <w:color w:val="0070C0"/>
                <w:sz w:val="28"/>
                <w:szCs w:val="28"/>
              </w:rPr>
              <w:t>AGENDA</w:t>
            </w:r>
            <w:r w:rsidR="00434825">
              <w:rPr>
                <w:rFonts w:ascii="Calibri" w:hAnsi="Calibri" w:cs="Calibri"/>
                <w:color w:val="0070C0"/>
                <w:sz w:val="28"/>
                <w:szCs w:val="28"/>
              </w:rPr>
              <w:t xml:space="preserve"> ITEM</w:t>
            </w:r>
          </w:p>
        </w:tc>
        <w:tc>
          <w:tcPr>
            <w:tcW w:w="10890" w:type="dxa"/>
            <w:tcBorders>
              <w:left w:val="single" w:sz="6" w:space="0" w:color="auto"/>
              <w:bottom w:val="triple" w:sz="4" w:space="0" w:color="auto"/>
            </w:tcBorders>
          </w:tcPr>
          <w:p w14:paraId="6F99715A" w14:textId="77777777" w:rsidR="007E5B16" w:rsidRPr="007E5B16" w:rsidRDefault="007E5B16" w:rsidP="00024201">
            <w:pPr>
              <w:rPr>
                <w:rFonts w:ascii="Calibri" w:hAnsi="Calibri" w:cs="Calibri"/>
                <w:caps/>
                <w:sz w:val="28"/>
                <w:szCs w:val="28"/>
              </w:rPr>
            </w:pPr>
            <w:r>
              <w:rPr>
                <w:rFonts w:ascii="Calibri" w:hAnsi="Calibri" w:cs="Calibri"/>
              </w:rPr>
              <w:t xml:space="preserve"> </w:t>
            </w:r>
            <w:r w:rsidRPr="007E5B16">
              <w:rPr>
                <w:rFonts w:ascii="Calibri" w:hAnsi="Calibri" w:cs="Calibri"/>
                <w:caps/>
                <w:color w:val="0070C0"/>
                <w:sz w:val="28"/>
                <w:szCs w:val="28"/>
              </w:rPr>
              <w:t xml:space="preserve">Discussion Summary </w:t>
            </w:r>
          </w:p>
        </w:tc>
      </w:tr>
      <w:tr w:rsidR="008646BE" w14:paraId="394CD838" w14:textId="77777777" w:rsidTr="00024201">
        <w:tc>
          <w:tcPr>
            <w:tcW w:w="3510" w:type="dxa"/>
            <w:tcBorders>
              <w:top w:val="double" w:sz="4" w:space="0" w:color="auto"/>
              <w:right w:val="single" w:sz="6" w:space="0" w:color="auto"/>
            </w:tcBorders>
          </w:tcPr>
          <w:p w14:paraId="1687EC0D" w14:textId="77777777" w:rsidR="008646BE" w:rsidRPr="008646BE" w:rsidRDefault="008646BE" w:rsidP="008646BE">
            <w:pPr>
              <w:ind w:left="0"/>
              <w:rPr>
                <w:rFonts w:ascii="Calibri" w:hAnsi="Calibri" w:cs="Calibri"/>
                <w:b/>
              </w:rPr>
            </w:pPr>
            <w:r w:rsidRPr="008646BE">
              <w:rPr>
                <w:rFonts w:ascii="Calibri" w:hAnsi="Calibri" w:cs="Calibri"/>
                <w:b/>
                <w:color w:val="0070C0"/>
              </w:rPr>
              <w:t>Welcome</w:t>
            </w:r>
            <w:r>
              <w:rPr>
                <w:rFonts w:ascii="Calibri" w:hAnsi="Calibri" w:cs="Calibri"/>
                <w:b/>
                <w:color w:val="0070C0"/>
              </w:rPr>
              <w:t xml:space="preserve"> </w:t>
            </w:r>
          </w:p>
        </w:tc>
        <w:tc>
          <w:tcPr>
            <w:tcW w:w="10890" w:type="dxa"/>
            <w:tcBorders>
              <w:top w:val="double" w:sz="4" w:space="0" w:color="auto"/>
              <w:left w:val="single" w:sz="6" w:space="0" w:color="auto"/>
            </w:tcBorders>
          </w:tcPr>
          <w:p w14:paraId="77775D8D" w14:textId="77777777" w:rsidR="008646BE" w:rsidRDefault="008646BE" w:rsidP="002460C6">
            <w:pPr>
              <w:ind w:left="0"/>
              <w:rPr>
                <w:rFonts w:ascii="Calibri" w:hAnsi="Calibri" w:cs="Calibri"/>
              </w:rPr>
            </w:pPr>
          </w:p>
        </w:tc>
      </w:tr>
      <w:tr w:rsidR="00951F5F" w14:paraId="3E39D675" w14:textId="77777777" w:rsidTr="00024201">
        <w:tc>
          <w:tcPr>
            <w:tcW w:w="3510" w:type="dxa"/>
            <w:tcBorders>
              <w:top w:val="double" w:sz="4" w:space="0" w:color="auto"/>
              <w:right w:val="single" w:sz="6" w:space="0" w:color="auto"/>
            </w:tcBorders>
          </w:tcPr>
          <w:p w14:paraId="540FA8B2" w14:textId="77777777" w:rsidR="00951F5F" w:rsidRPr="007E5B16" w:rsidRDefault="00951F5F" w:rsidP="00EE1DDE">
            <w:pPr>
              <w:pStyle w:val="ListParagraph"/>
              <w:numPr>
                <w:ilvl w:val="0"/>
                <w:numId w:val="13"/>
              </w:numPr>
              <w:ind w:left="480"/>
              <w:rPr>
                <w:rFonts w:ascii="Calibri" w:hAnsi="Calibri" w:cs="Calibri"/>
                <w:b/>
              </w:rPr>
            </w:pPr>
            <w:r w:rsidRPr="007E5B16">
              <w:rPr>
                <w:rFonts w:ascii="Calibri" w:hAnsi="Calibri" w:cs="Calibri"/>
                <w:b/>
              </w:rPr>
              <w:t>Introductions</w:t>
            </w:r>
            <w:r w:rsidR="00EE1DDE">
              <w:rPr>
                <w:rFonts w:ascii="Calibri" w:hAnsi="Calibri" w:cs="Calibri"/>
                <w:b/>
              </w:rPr>
              <w:br/>
            </w:r>
            <w:r w:rsidR="008646BE" w:rsidRPr="00EE1DDE">
              <w:rPr>
                <w:rFonts w:ascii="Calibri" w:hAnsi="Calibri" w:cs="Calibri"/>
              </w:rPr>
              <w:t>(Karynlee Harrington)</w:t>
            </w:r>
          </w:p>
        </w:tc>
        <w:tc>
          <w:tcPr>
            <w:tcW w:w="10890" w:type="dxa"/>
            <w:tcBorders>
              <w:top w:val="double" w:sz="4" w:space="0" w:color="auto"/>
              <w:left w:val="single" w:sz="6" w:space="0" w:color="auto"/>
            </w:tcBorders>
          </w:tcPr>
          <w:p w14:paraId="77C79206" w14:textId="1DEB068D" w:rsidR="00213D08" w:rsidRDefault="00487319" w:rsidP="00EB205A">
            <w:pPr>
              <w:spacing w:before="0" w:after="0"/>
              <w:ind w:left="0"/>
              <w:rPr>
                <w:rFonts w:ascii="Calibri" w:hAnsi="Calibri" w:cs="Calibri"/>
              </w:rPr>
            </w:pPr>
            <w:r>
              <w:rPr>
                <w:rFonts w:ascii="Calibri" w:hAnsi="Calibri" w:cs="Calibri"/>
              </w:rPr>
              <w:t xml:space="preserve">Karynlee </w:t>
            </w:r>
            <w:r w:rsidR="00320721">
              <w:rPr>
                <w:rFonts w:ascii="Calibri" w:hAnsi="Calibri" w:cs="Calibri"/>
              </w:rPr>
              <w:t>Harrington</w:t>
            </w:r>
            <w:r w:rsidR="00824B4D">
              <w:rPr>
                <w:rFonts w:ascii="Calibri" w:hAnsi="Calibri" w:cs="Calibri"/>
              </w:rPr>
              <w:t xml:space="preserve"> welcomed the members of the group and provided an</w:t>
            </w:r>
            <w:r w:rsidR="00320721">
              <w:rPr>
                <w:rFonts w:ascii="Calibri" w:hAnsi="Calibri" w:cs="Calibri"/>
              </w:rPr>
              <w:t xml:space="preserve"> overview of</w:t>
            </w:r>
            <w:r w:rsidR="00824B4D">
              <w:rPr>
                <w:rFonts w:ascii="Calibri" w:hAnsi="Calibri" w:cs="Calibri"/>
              </w:rPr>
              <w:t xml:space="preserve"> the requirements of</w:t>
            </w:r>
            <w:r w:rsidR="00320721">
              <w:rPr>
                <w:rFonts w:ascii="Calibri" w:hAnsi="Calibri" w:cs="Calibri"/>
              </w:rPr>
              <w:t xml:space="preserve"> </w:t>
            </w:r>
            <w:r w:rsidR="00824B4D">
              <w:rPr>
                <w:rFonts w:ascii="Calibri" w:hAnsi="Calibri" w:cs="Calibri"/>
              </w:rPr>
              <w:t>Public Law Chapter 244 and</w:t>
            </w:r>
            <w:r w:rsidR="00320721">
              <w:rPr>
                <w:rFonts w:ascii="Calibri" w:hAnsi="Calibri" w:cs="Calibri"/>
              </w:rPr>
              <w:t xml:space="preserve"> </w:t>
            </w:r>
            <w:r w:rsidR="00EB205A">
              <w:rPr>
                <w:rFonts w:ascii="Calibri" w:hAnsi="Calibri" w:cs="Calibri"/>
              </w:rPr>
              <w:t xml:space="preserve">the charge of the </w:t>
            </w:r>
            <w:r w:rsidR="00320721">
              <w:rPr>
                <w:rFonts w:ascii="Calibri" w:hAnsi="Calibri" w:cs="Calibri"/>
              </w:rPr>
              <w:t>advisory group</w:t>
            </w:r>
            <w:r w:rsidR="00824B4D">
              <w:rPr>
                <w:rFonts w:ascii="Calibri" w:hAnsi="Calibri" w:cs="Calibri"/>
              </w:rPr>
              <w:t>.</w:t>
            </w:r>
            <w:r w:rsidR="00320721">
              <w:rPr>
                <w:rFonts w:ascii="Calibri" w:hAnsi="Calibri" w:cs="Calibri"/>
              </w:rPr>
              <w:t xml:space="preserve"> </w:t>
            </w:r>
            <w:r w:rsidR="0038303A">
              <w:rPr>
                <w:rFonts w:ascii="Calibri" w:hAnsi="Calibri" w:cs="Calibri"/>
              </w:rPr>
              <w:t xml:space="preserve">  Karynlee also explained that she has contracted with Muskie and Judy Loren to help her with developing the report and to provide technical expertise and guidance.  </w:t>
            </w:r>
          </w:p>
        </w:tc>
      </w:tr>
      <w:tr w:rsidR="00951F5F" w14:paraId="768DE179" w14:textId="77777777" w:rsidTr="00024201">
        <w:tc>
          <w:tcPr>
            <w:tcW w:w="3510" w:type="dxa"/>
            <w:tcBorders>
              <w:right w:val="single" w:sz="6" w:space="0" w:color="auto"/>
            </w:tcBorders>
          </w:tcPr>
          <w:p w14:paraId="4BE51E18" w14:textId="77777777" w:rsidR="00951F5F" w:rsidRPr="007E5B16" w:rsidRDefault="00951F5F" w:rsidP="00EE1DDE">
            <w:pPr>
              <w:pStyle w:val="ListParagraph"/>
              <w:numPr>
                <w:ilvl w:val="0"/>
                <w:numId w:val="13"/>
              </w:numPr>
              <w:ind w:left="480"/>
              <w:rPr>
                <w:rFonts w:ascii="Calibri" w:hAnsi="Calibri" w:cs="Calibri"/>
                <w:b/>
              </w:rPr>
            </w:pPr>
            <w:r w:rsidRPr="007E5B16">
              <w:rPr>
                <w:rFonts w:ascii="Calibri" w:hAnsi="Calibri" w:cs="Calibri"/>
                <w:b/>
              </w:rPr>
              <w:t>Background Behind LD 1353</w:t>
            </w:r>
            <w:r w:rsidR="008646BE">
              <w:rPr>
                <w:rFonts w:ascii="Calibri" w:hAnsi="Calibri" w:cs="Calibri"/>
                <w:b/>
              </w:rPr>
              <w:t xml:space="preserve"> </w:t>
            </w:r>
            <w:r w:rsidR="008646BE">
              <w:rPr>
                <w:rFonts w:ascii="Calibri" w:hAnsi="Calibri" w:cs="Calibri"/>
                <w:b/>
              </w:rPr>
              <w:br/>
            </w:r>
            <w:r w:rsidR="008646BE" w:rsidRPr="008646BE">
              <w:rPr>
                <w:rFonts w:ascii="Calibri" w:hAnsi="Calibri" w:cs="Calibri"/>
              </w:rPr>
              <w:t>(Senator Linda Sanborn</w:t>
            </w:r>
            <w:r w:rsidR="001F46C1">
              <w:rPr>
                <w:rFonts w:ascii="Calibri" w:hAnsi="Calibri" w:cs="Calibri"/>
              </w:rPr>
              <w:t xml:space="preserve"> and Lisa Letourneau</w:t>
            </w:r>
            <w:r w:rsidR="008646BE" w:rsidRPr="008646BE">
              <w:rPr>
                <w:rFonts w:ascii="Calibri" w:hAnsi="Calibri" w:cs="Calibri"/>
              </w:rPr>
              <w:t>)</w:t>
            </w:r>
          </w:p>
        </w:tc>
        <w:tc>
          <w:tcPr>
            <w:tcW w:w="10890" w:type="dxa"/>
            <w:tcBorders>
              <w:left w:val="single" w:sz="6" w:space="0" w:color="auto"/>
            </w:tcBorders>
          </w:tcPr>
          <w:p w14:paraId="2FC06586" w14:textId="77777777" w:rsidR="00692C1D" w:rsidRDefault="00EB205A" w:rsidP="00213D08">
            <w:pPr>
              <w:spacing w:before="0" w:after="0"/>
              <w:ind w:left="0"/>
              <w:rPr>
                <w:rFonts w:ascii="Calibri" w:hAnsi="Calibri" w:cs="Calibri"/>
              </w:rPr>
            </w:pPr>
            <w:r>
              <w:rPr>
                <w:rFonts w:ascii="Calibri" w:hAnsi="Calibri" w:cs="Calibri"/>
              </w:rPr>
              <w:t xml:space="preserve">Senator </w:t>
            </w:r>
            <w:r w:rsidR="00692C1D">
              <w:rPr>
                <w:rFonts w:ascii="Calibri" w:hAnsi="Calibri" w:cs="Calibri"/>
              </w:rPr>
              <w:t xml:space="preserve">Linda Sanborn </w:t>
            </w:r>
            <w:r w:rsidR="00320721">
              <w:rPr>
                <w:rFonts w:ascii="Calibri" w:hAnsi="Calibri" w:cs="Calibri"/>
              </w:rPr>
              <w:t xml:space="preserve">provided background on the legislation and </w:t>
            </w:r>
            <w:r w:rsidR="00607CC4">
              <w:rPr>
                <w:rFonts w:ascii="Calibri" w:hAnsi="Calibri" w:cs="Calibri"/>
              </w:rPr>
              <w:t>why she introduced</w:t>
            </w:r>
            <w:r w:rsidR="00692C1D">
              <w:rPr>
                <w:rFonts w:ascii="Calibri" w:hAnsi="Calibri" w:cs="Calibri"/>
              </w:rPr>
              <w:t xml:space="preserve"> the bill to the legislature. </w:t>
            </w:r>
            <w:r w:rsidR="005E0482">
              <w:rPr>
                <w:rFonts w:ascii="Calibri" w:hAnsi="Calibri" w:cs="Calibri"/>
              </w:rPr>
              <w:t>She explained the need for i</w:t>
            </w:r>
            <w:r w:rsidR="00607CC4">
              <w:rPr>
                <w:rFonts w:ascii="Calibri" w:hAnsi="Calibri" w:cs="Calibri"/>
              </w:rPr>
              <w:t>ncreased</w:t>
            </w:r>
            <w:r w:rsidR="00692C1D">
              <w:rPr>
                <w:rFonts w:ascii="Calibri" w:hAnsi="Calibri" w:cs="Calibri"/>
              </w:rPr>
              <w:t xml:space="preserve"> investment in primary car</w:t>
            </w:r>
            <w:r w:rsidR="00607CC4">
              <w:rPr>
                <w:rFonts w:ascii="Calibri" w:hAnsi="Calibri" w:cs="Calibri"/>
              </w:rPr>
              <w:t xml:space="preserve">e to improve </w:t>
            </w:r>
            <w:r w:rsidR="00487319">
              <w:rPr>
                <w:rFonts w:ascii="Calibri" w:hAnsi="Calibri" w:cs="Calibri"/>
              </w:rPr>
              <w:t xml:space="preserve">health </w:t>
            </w:r>
            <w:r w:rsidR="00607CC4">
              <w:rPr>
                <w:rFonts w:ascii="Calibri" w:hAnsi="Calibri" w:cs="Calibri"/>
              </w:rPr>
              <w:t>outcomes</w:t>
            </w:r>
            <w:r w:rsidR="00487319">
              <w:rPr>
                <w:rFonts w:ascii="Calibri" w:hAnsi="Calibri" w:cs="Calibri"/>
              </w:rPr>
              <w:t xml:space="preserve">, increase satisfaction and lower overall </w:t>
            </w:r>
            <w:r>
              <w:rPr>
                <w:rFonts w:ascii="Calibri" w:hAnsi="Calibri" w:cs="Calibri"/>
              </w:rPr>
              <w:t xml:space="preserve">healthcare </w:t>
            </w:r>
            <w:r w:rsidR="00487319">
              <w:rPr>
                <w:rFonts w:ascii="Calibri" w:hAnsi="Calibri" w:cs="Calibri"/>
              </w:rPr>
              <w:t>costs</w:t>
            </w:r>
            <w:r w:rsidR="00607CC4">
              <w:rPr>
                <w:rFonts w:ascii="Calibri" w:hAnsi="Calibri" w:cs="Calibri"/>
              </w:rPr>
              <w:t xml:space="preserve">. </w:t>
            </w:r>
            <w:r>
              <w:rPr>
                <w:rFonts w:ascii="Calibri" w:hAnsi="Calibri" w:cs="Calibri"/>
              </w:rPr>
              <w:t xml:space="preserve">As an example, she referenced that other countries with </w:t>
            </w:r>
            <w:r w:rsidR="00607CC4">
              <w:rPr>
                <w:rFonts w:ascii="Calibri" w:hAnsi="Calibri" w:cs="Calibri"/>
              </w:rPr>
              <w:t xml:space="preserve">higher percentages of primary care </w:t>
            </w:r>
            <w:r w:rsidR="00E87494">
              <w:rPr>
                <w:rFonts w:ascii="Calibri" w:hAnsi="Calibri" w:cs="Calibri"/>
              </w:rPr>
              <w:t>investment</w:t>
            </w:r>
            <w:r w:rsidR="00487319">
              <w:rPr>
                <w:rFonts w:ascii="Calibri" w:hAnsi="Calibri" w:cs="Calibri"/>
              </w:rPr>
              <w:t xml:space="preserve">, </w:t>
            </w:r>
            <w:r>
              <w:rPr>
                <w:rFonts w:ascii="Calibri" w:hAnsi="Calibri" w:cs="Calibri"/>
              </w:rPr>
              <w:t xml:space="preserve">have much </w:t>
            </w:r>
            <w:r w:rsidR="00487319">
              <w:rPr>
                <w:rFonts w:ascii="Calibri" w:hAnsi="Calibri" w:cs="Calibri"/>
              </w:rPr>
              <w:t xml:space="preserve">lower </w:t>
            </w:r>
            <w:r>
              <w:rPr>
                <w:rFonts w:ascii="Calibri" w:hAnsi="Calibri" w:cs="Calibri"/>
              </w:rPr>
              <w:t xml:space="preserve">total </w:t>
            </w:r>
            <w:r w:rsidR="00487319">
              <w:rPr>
                <w:rFonts w:ascii="Calibri" w:hAnsi="Calibri" w:cs="Calibri"/>
              </w:rPr>
              <w:t>health care costs.</w:t>
            </w:r>
            <w:r w:rsidR="00692C1D">
              <w:rPr>
                <w:rFonts w:ascii="Calibri" w:hAnsi="Calibri" w:cs="Calibri"/>
              </w:rPr>
              <w:t xml:space="preserve"> </w:t>
            </w:r>
            <w:r>
              <w:rPr>
                <w:rFonts w:ascii="Calibri" w:hAnsi="Calibri" w:cs="Calibri"/>
              </w:rPr>
              <w:t xml:space="preserve">She also described </w:t>
            </w:r>
            <w:r w:rsidR="00692C1D">
              <w:rPr>
                <w:rFonts w:ascii="Calibri" w:hAnsi="Calibri" w:cs="Calibri"/>
              </w:rPr>
              <w:t>Rhode Island</w:t>
            </w:r>
            <w:r w:rsidR="005E0482">
              <w:rPr>
                <w:rFonts w:ascii="Calibri" w:hAnsi="Calibri" w:cs="Calibri"/>
              </w:rPr>
              <w:t xml:space="preserve">’s experience, as </w:t>
            </w:r>
            <w:r>
              <w:rPr>
                <w:rFonts w:ascii="Calibri" w:hAnsi="Calibri" w:cs="Calibri"/>
              </w:rPr>
              <w:t xml:space="preserve">one of the first </w:t>
            </w:r>
            <w:r w:rsidR="00E87494">
              <w:rPr>
                <w:rFonts w:ascii="Calibri" w:hAnsi="Calibri" w:cs="Calibri"/>
              </w:rPr>
              <w:t>state</w:t>
            </w:r>
            <w:r>
              <w:rPr>
                <w:rFonts w:ascii="Calibri" w:hAnsi="Calibri" w:cs="Calibri"/>
              </w:rPr>
              <w:t>s</w:t>
            </w:r>
            <w:r w:rsidR="00E87494">
              <w:rPr>
                <w:rFonts w:ascii="Calibri" w:hAnsi="Calibri" w:cs="Calibri"/>
              </w:rPr>
              <w:t xml:space="preserve"> </w:t>
            </w:r>
            <w:r>
              <w:rPr>
                <w:rFonts w:ascii="Calibri" w:hAnsi="Calibri" w:cs="Calibri"/>
              </w:rPr>
              <w:t xml:space="preserve">to measure and invest in greater </w:t>
            </w:r>
            <w:r w:rsidR="00E87494">
              <w:rPr>
                <w:rFonts w:ascii="Calibri" w:hAnsi="Calibri" w:cs="Calibri"/>
              </w:rPr>
              <w:t>primary care</w:t>
            </w:r>
            <w:r w:rsidR="00692C1D">
              <w:rPr>
                <w:rFonts w:ascii="Calibri" w:hAnsi="Calibri" w:cs="Calibri"/>
              </w:rPr>
              <w:t xml:space="preserve"> spending</w:t>
            </w:r>
            <w:r w:rsidR="005E0482">
              <w:rPr>
                <w:rFonts w:ascii="Calibri" w:hAnsi="Calibri" w:cs="Calibri"/>
              </w:rPr>
              <w:t xml:space="preserve"> </w:t>
            </w:r>
            <w:r w:rsidR="00692C1D">
              <w:rPr>
                <w:rFonts w:ascii="Calibri" w:hAnsi="Calibri" w:cs="Calibri"/>
              </w:rPr>
              <w:t>10 years ago</w:t>
            </w:r>
            <w:r w:rsidR="005E0482">
              <w:rPr>
                <w:rFonts w:ascii="Calibri" w:hAnsi="Calibri" w:cs="Calibri"/>
              </w:rPr>
              <w:t>, and how t</w:t>
            </w:r>
            <w:r w:rsidR="00692C1D">
              <w:rPr>
                <w:rFonts w:ascii="Calibri" w:hAnsi="Calibri" w:cs="Calibri"/>
              </w:rPr>
              <w:t xml:space="preserve">otal health </w:t>
            </w:r>
            <w:r w:rsidR="00E87494">
              <w:rPr>
                <w:rFonts w:ascii="Calibri" w:hAnsi="Calibri" w:cs="Calibri"/>
              </w:rPr>
              <w:t xml:space="preserve">care expenditures </w:t>
            </w:r>
            <w:r w:rsidR="005E0482">
              <w:rPr>
                <w:rFonts w:ascii="Calibri" w:hAnsi="Calibri" w:cs="Calibri"/>
              </w:rPr>
              <w:t>ha</w:t>
            </w:r>
            <w:r>
              <w:rPr>
                <w:rFonts w:ascii="Calibri" w:hAnsi="Calibri" w:cs="Calibri"/>
              </w:rPr>
              <w:t xml:space="preserve">d </w:t>
            </w:r>
            <w:r w:rsidR="005E0482">
              <w:rPr>
                <w:rFonts w:ascii="Calibri" w:hAnsi="Calibri" w:cs="Calibri"/>
              </w:rPr>
              <w:t xml:space="preserve">decreased </w:t>
            </w:r>
            <w:r>
              <w:rPr>
                <w:rFonts w:ascii="Calibri" w:hAnsi="Calibri" w:cs="Calibri"/>
              </w:rPr>
              <w:t xml:space="preserve">dramatically </w:t>
            </w:r>
            <w:r w:rsidR="00E87494">
              <w:rPr>
                <w:rFonts w:ascii="Calibri" w:hAnsi="Calibri" w:cs="Calibri"/>
              </w:rPr>
              <w:t>as primary care</w:t>
            </w:r>
            <w:r w:rsidR="005E0482">
              <w:rPr>
                <w:rFonts w:ascii="Calibri" w:hAnsi="Calibri" w:cs="Calibri"/>
              </w:rPr>
              <w:t xml:space="preserve"> spending has </w:t>
            </w:r>
            <w:r w:rsidR="00692C1D">
              <w:rPr>
                <w:rFonts w:ascii="Calibri" w:hAnsi="Calibri" w:cs="Calibri"/>
              </w:rPr>
              <w:t xml:space="preserve">increased. </w:t>
            </w:r>
          </w:p>
          <w:p w14:paraId="03038140" w14:textId="77777777" w:rsidR="00692C1D" w:rsidRDefault="00692C1D" w:rsidP="00213D08">
            <w:pPr>
              <w:spacing w:before="0" w:after="0"/>
              <w:ind w:left="0"/>
              <w:rPr>
                <w:rFonts w:ascii="Calibri" w:hAnsi="Calibri" w:cs="Calibri"/>
              </w:rPr>
            </w:pPr>
          </w:p>
          <w:p w14:paraId="3882373D" w14:textId="77777777" w:rsidR="00692C1D" w:rsidRDefault="00487319" w:rsidP="003757AE">
            <w:pPr>
              <w:spacing w:before="0" w:after="0"/>
              <w:ind w:left="0"/>
              <w:rPr>
                <w:rFonts w:ascii="Calibri" w:hAnsi="Calibri" w:cs="Calibri"/>
              </w:rPr>
            </w:pPr>
            <w:r>
              <w:rPr>
                <w:rFonts w:ascii="Calibri" w:hAnsi="Calibri" w:cs="Calibri"/>
              </w:rPr>
              <w:lastRenderedPageBreak/>
              <w:t xml:space="preserve">Lisa Letourneau </w:t>
            </w:r>
            <w:r w:rsidR="00320721">
              <w:rPr>
                <w:rFonts w:ascii="Calibri" w:hAnsi="Calibri" w:cs="Calibri"/>
              </w:rPr>
              <w:t xml:space="preserve">provided background on the national context and </w:t>
            </w:r>
            <w:r>
              <w:rPr>
                <w:rFonts w:ascii="Calibri" w:hAnsi="Calibri" w:cs="Calibri"/>
              </w:rPr>
              <w:t xml:space="preserve">her involvement with the Patient-Centered Primary Care Collaborative (PCPCC) workgroup. The group has been discussing primary care investment and what percentage spend is sufficient. </w:t>
            </w:r>
            <w:r w:rsidR="00320721">
              <w:rPr>
                <w:rFonts w:ascii="Calibri" w:hAnsi="Calibri" w:cs="Calibri"/>
              </w:rPr>
              <w:t xml:space="preserve">An increasing number of states have passed legislation to assess primary care spending and some have set targets for value-based purchasing efforts of a minimum percentage </w:t>
            </w:r>
            <w:r w:rsidR="003757AE">
              <w:rPr>
                <w:rFonts w:ascii="Calibri" w:hAnsi="Calibri" w:cs="Calibri"/>
              </w:rPr>
              <w:t xml:space="preserve">of primary care spending. In Maine, </w:t>
            </w:r>
            <w:r>
              <w:rPr>
                <w:rFonts w:ascii="Calibri" w:hAnsi="Calibri" w:cs="Calibri"/>
              </w:rPr>
              <w:t>determin</w:t>
            </w:r>
            <w:r w:rsidR="003757AE">
              <w:rPr>
                <w:rFonts w:ascii="Calibri" w:hAnsi="Calibri" w:cs="Calibri"/>
              </w:rPr>
              <w:t>ing</w:t>
            </w:r>
            <w:r>
              <w:rPr>
                <w:rFonts w:ascii="Calibri" w:hAnsi="Calibri" w:cs="Calibri"/>
              </w:rPr>
              <w:t xml:space="preserve"> the percent spent on primary care </w:t>
            </w:r>
            <w:r w:rsidR="003757AE">
              <w:rPr>
                <w:rFonts w:ascii="Calibri" w:hAnsi="Calibri" w:cs="Calibri"/>
              </w:rPr>
              <w:t>i</w:t>
            </w:r>
            <w:r>
              <w:rPr>
                <w:rFonts w:ascii="Calibri" w:hAnsi="Calibri" w:cs="Calibri"/>
              </w:rPr>
              <w:t xml:space="preserve">s a starting point to increased primary care investments. </w:t>
            </w:r>
          </w:p>
        </w:tc>
      </w:tr>
      <w:tr w:rsidR="00951F5F" w14:paraId="66EE5A8B" w14:textId="77777777" w:rsidTr="00024201">
        <w:tc>
          <w:tcPr>
            <w:tcW w:w="3510" w:type="dxa"/>
            <w:tcBorders>
              <w:right w:val="single" w:sz="6" w:space="0" w:color="auto"/>
            </w:tcBorders>
          </w:tcPr>
          <w:p w14:paraId="3C0FC649" w14:textId="6EC6D203" w:rsidR="00951F5F" w:rsidRPr="007E5B16" w:rsidRDefault="00824B4D" w:rsidP="00EE1DDE">
            <w:pPr>
              <w:pStyle w:val="ListParagraph"/>
              <w:numPr>
                <w:ilvl w:val="0"/>
                <w:numId w:val="13"/>
              </w:numPr>
              <w:ind w:left="480"/>
              <w:rPr>
                <w:rFonts w:ascii="Calibri" w:hAnsi="Calibri" w:cs="Calibri"/>
                <w:b/>
              </w:rPr>
            </w:pPr>
            <w:r>
              <w:rPr>
                <w:rFonts w:ascii="Calibri" w:hAnsi="Calibri" w:cs="Calibri"/>
                <w:b/>
              </w:rPr>
              <w:lastRenderedPageBreak/>
              <w:t xml:space="preserve">Reporting </w:t>
            </w:r>
            <w:r w:rsidR="00951F5F" w:rsidRPr="007E5B16">
              <w:rPr>
                <w:rFonts w:ascii="Calibri" w:hAnsi="Calibri" w:cs="Calibri"/>
                <w:b/>
              </w:rPr>
              <w:t>Requirements of Public Law Chapter 244</w:t>
            </w:r>
            <w:r w:rsidR="008646BE">
              <w:rPr>
                <w:rFonts w:ascii="Calibri" w:hAnsi="Calibri" w:cs="Calibri"/>
                <w:b/>
              </w:rPr>
              <w:t xml:space="preserve"> </w:t>
            </w:r>
            <w:r w:rsidR="008646BE" w:rsidRPr="008646BE">
              <w:rPr>
                <w:rFonts w:ascii="Calibri" w:hAnsi="Calibri" w:cs="Calibri"/>
              </w:rPr>
              <w:t>(Karynlee Harrington)</w:t>
            </w:r>
          </w:p>
        </w:tc>
        <w:tc>
          <w:tcPr>
            <w:tcW w:w="10890" w:type="dxa"/>
            <w:tcBorders>
              <w:left w:val="single" w:sz="6" w:space="0" w:color="auto"/>
            </w:tcBorders>
          </w:tcPr>
          <w:p w14:paraId="4436A494" w14:textId="3863FD62" w:rsidR="00951F5F" w:rsidRDefault="00692C1D" w:rsidP="00213D08">
            <w:pPr>
              <w:spacing w:before="0" w:after="0"/>
              <w:ind w:left="0"/>
              <w:rPr>
                <w:rFonts w:ascii="Calibri" w:hAnsi="Calibri" w:cs="Calibri"/>
              </w:rPr>
            </w:pPr>
            <w:r>
              <w:rPr>
                <w:rFonts w:ascii="Calibri" w:hAnsi="Calibri" w:cs="Calibri"/>
              </w:rPr>
              <w:t xml:space="preserve">MQF </w:t>
            </w:r>
            <w:r w:rsidR="000A0858">
              <w:rPr>
                <w:rFonts w:ascii="Calibri" w:hAnsi="Calibri" w:cs="Calibri"/>
              </w:rPr>
              <w:t>is required to submit a</w:t>
            </w:r>
            <w:r w:rsidR="00824B4D">
              <w:rPr>
                <w:rFonts w:ascii="Calibri" w:hAnsi="Calibri" w:cs="Calibri"/>
              </w:rPr>
              <w:t>n annual</w:t>
            </w:r>
            <w:r w:rsidR="000A0858">
              <w:rPr>
                <w:rFonts w:ascii="Calibri" w:hAnsi="Calibri" w:cs="Calibri"/>
              </w:rPr>
              <w:t xml:space="preserve"> report to the legislature</w:t>
            </w:r>
            <w:r>
              <w:rPr>
                <w:rFonts w:ascii="Calibri" w:hAnsi="Calibri" w:cs="Calibri"/>
              </w:rPr>
              <w:t xml:space="preserve"> </w:t>
            </w:r>
            <w:r w:rsidR="00824B4D">
              <w:rPr>
                <w:rFonts w:ascii="Calibri" w:hAnsi="Calibri" w:cs="Calibri"/>
              </w:rPr>
              <w:t>beginning</w:t>
            </w:r>
            <w:r w:rsidR="000A0858">
              <w:rPr>
                <w:rFonts w:ascii="Calibri" w:hAnsi="Calibri" w:cs="Calibri"/>
              </w:rPr>
              <w:t xml:space="preserve"> January 15, 2020. </w:t>
            </w:r>
            <w:r w:rsidR="001F46C1">
              <w:rPr>
                <w:rFonts w:ascii="Calibri" w:hAnsi="Calibri" w:cs="Calibri"/>
              </w:rPr>
              <w:t>The</w:t>
            </w:r>
            <w:r w:rsidR="000A0858">
              <w:rPr>
                <w:rFonts w:ascii="Calibri" w:hAnsi="Calibri" w:cs="Calibri"/>
              </w:rPr>
              <w:t xml:space="preserve"> APCD claims data </w:t>
            </w:r>
            <w:r w:rsidR="001F46C1">
              <w:rPr>
                <w:rFonts w:ascii="Calibri" w:hAnsi="Calibri" w:cs="Calibri"/>
              </w:rPr>
              <w:t xml:space="preserve">will be used </w:t>
            </w:r>
            <w:r w:rsidR="000A0858">
              <w:rPr>
                <w:rFonts w:ascii="Calibri" w:hAnsi="Calibri" w:cs="Calibri"/>
              </w:rPr>
              <w:t xml:space="preserve">to calculate the </w:t>
            </w:r>
            <w:r w:rsidR="0096659B">
              <w:rPr>
                <w:rFonts w:ascii="Calibri" w:hAnsi="Calibri" w:cs="Calibri"/>
              </w:rPr>
              <w:t xml:space="preserve">percentage of </w:t>
            </w:r>
            <w:r w:rsidR="000A0858">
              <w:rPr>
                <w:rFonts w:ascii="Calibri" w:hAnsi="Calibri" w:cs="Calibri"/>
              </w:rPr>
              <w:t xml:space="preserve">primary care </w:t>
            </w:r>
            <w:r>
              <w:rPr>
                <w:rFonts w:ascii="Calibri" w:hAnsi="Calibri" w:cs="Calibri"/>
              </w:rPr>
              <w:t xml:space="preserve">spending in </w:t>
            </w:r>
            <w:r w:rsidR="000A0858">
              <w:rPr>
                <w:rFonts w:ascii="Calibri" w:hAnsi="Calibri" w:cs="Calibri"/>
              </w:rPr>
              <w:t>Maine</w:t>
            </w:r>
            <w:r w:rsidR="0096659B">
              <w:rPr>
                <w:rFonts w:ascii="Calibri" w:hAnsi="Calibri" w:cs="Calibri"/>
              </w:rPr>
              <w:t xml:space="preserve"> and </w:t>
            </w:r>
            <w:r w:rsidR="001F46C1">
              <w:rPr>
                <w:rFonts w:ascii="Calibri" w:hAnsi="Calibri" w:cs="Calibri"/>
              </w:rPr>
              <w:t xml:space="preserve">the report will also include the </w:t>
            </w:r>
            <w:r w:rsidR="00C12B45">
              <w:rPr>
                <w:rFonts w:ascii="Calibri" w:hAnsi="Calibri" w:cs="Calibri"/>
              </w:rPr>
              <w:t xml:space="preserve">insurers’ </w:t>
            </w:r>
            <w:r>
              <w:rPr>
                <w:rFonts w:ascii="Calibri" w:hAnsi="Calibri" w:cs="Calibri"/>
              </w:rPr>
              <w:t xml:space="preserve">methods for reimbursing primary care. </w:t>
            </w:r>
            <w:r w:rsidR="001F46C1">
              <w:rPr>
                <w:rFonts w:ascii="Calibri" w:hAnsi="Calibri" w:cs="Calibri"/>
              </w:rPr>
              <w:t xml:space="preserve">The law includes </w:t>
            </w:r>
            <w:r w:rsidR="00EB205A">
              <w:rPr>
                <w:rFonts w:ascii="Calibri" w:hAnsi="Calibri" w:cs="Calibri"/>
              </w:rPr>
              <w:t xml:space="preserve">a </w:t>
            </w:r>
            <w:r w:rsidR="007E1E85">
              <w:rPr>
                <w:rFonts w:ascii="Calibri" w:hAnsi="Calibri" w:cs="Calibri"/>
              </w:rPr>
              <w:t>high-level</w:t>
            </w:r>
            <w:r w:rsidR="00EB205A">
              <w:rPr>
                <w:rFonts w:ascii="Calibri" w:hAnsi="Calibri" w:cs="Calibri"/>
              </w:rPr>
              <w:t xml:space="preserve"> </w:t>
            </w:r>
            <w:r w:rsidR="001F46C1">
              <w:rPr>
                <w:rFonts w:ascii="Calibri" w:hAnsi="Calibri" w:cs="Calibri"/>
              </w:rPr>
              <w:t>definition of primary care</w:t>
            </w:r>
            <w:r w:rsidR="00EB205A">
              <w:rPr>
                <w:rFonts w:ascii="Calibri" w:hAnsi="Calibri" w:cs="Calibri"/>
              </w:rPr>
              <w:t xml:space="preserve"> that </w:t>
            </w:r>
            <w:r w:rsidR="001F46C1">
              <w:rPr>
                <w:rFonts w:ascii="Calibri" w:hAnsi="Calibri" w:cs="Calibri"/>
              </w:rPr>
              <w:t xml:space="preserve">explicitly excludes urgent care and emergency department visits. </w:t>
            </w:r>
          </w:p>
          <w:p w14:paraId="7F54953B" w14:textId="77777777" w:rsidR="00D87B3A" w:rsidRDefault="00D87B3A" w:rsidP="00213D08">
            <w:pPr>
              <w:spacing w:before="0" w:after="0"/>
              <w:ind w:left="0"/>
              <w:rPr>
                <w:rFonts w:ascii="Calibri" w:hAnsi="Calibri" w:cs="Calibri"/>
              </w:rPr>
            </w:pPr>
          </w:p>
          <w:p w14:paraId="6AEE05F9" w14:textId="465901E7" w:rsidR="001F46C1" w:rsidRDefault="001F46C1" w:rsidP="00213D08">
            <w:pPr>
              <w:spacing w:before="0" w:after="0"/>
              <w:ind w:left="0"/>
              <w:rPr>
                <w:rFonts w:ascii="Calibri" w:hAnsi="Calibri" w:cs="Calibri"/>
              </w:rPr>
            </w:pPr>
            <w:r>
              <w:rPr>
                <w:rFonts w:ascii="Calibri" w:hAnsi="Calibri" w:cs="Calibri"/>
              </w:rPr>
              <w:t>Our process</w:t>
            </w:r>
            <w:r w:rsidR="00824B4D">
              <w:rPr>
                <w:rFonts w:ascii="Calibri" w:hAnsi="Calibri" w:cs="Calibri"/>
              </w:rPr>
              <w:t xml:space="preserve"> to date has</w:t>
            </w:r>
            <w:r>
              <w:rPr>
                <w:rFonts w:ascii="Calibri" w:hAnsi="Calibri" w:cs="Calibri"/>
              </w:rPr>
              <w:t xml:space="preserve"> involved two steps:</w:t>
            </w:r>
          </w:p>
          <w:p w14:paraId="4867FFF1" w14:textId="77777777" w:rsidR="001F46C1" w:rsidRDefault="001F46C1" w:rsidP="001F46C1">
            <w:pPr>
              <w:pStyle w:val="ListParagraph"/>
              <w:numPr>
                <w:ilvl w:val="0"/>
                <w:numId w:val="16"/>
              </w:numPr>
              <w:spacing w:before="0" w:after="0"/>
              <w:rPr>
                <w:rFonts w:ascii="Calibri" w:hAnsi="Calibri" w:cs="Calibri"/>
              </w:rPr>
            </w:pPr>
            <w:r>
              <w:rPr>
                <w:rFonts w:ascii="Calibri" w:hAnsi="Calibri" w:cs="Calibri"/>
              </w:rPr>
              <w:t xml:space="preserve">An environmental scan of </w:t>
            </w:r>
            <w:r w:rsidR="003757AE">
              <w:rPr>
                <w:rFonts w:ascii="Calibri" w:hAnsi="Calibri" w:cs="Calibri"/>
              </w:rPr>
              <w:t xml:space="preserve">how </w:t>
            </w:r>
            <w:r>
              <w:rPr>
                <w:rFonts w:ascii="Calibri" w:hAnsi="Calibri" w:cs="Calibri"/>
              </w:rPr>
              <w:t>other states and national</w:t>
            </w:r>
            <w:r w:rsidR="003757AE">
              <w:rPr>
                <w:rFonts w:ascii="Calibri" w:hAnsi="Calibri" w:cs="Calibri"/>
              </w:rPr>
              <w:t xml:space="preserve"> organizations have defined primary care</w:t>
            </w:r>
            <w:r w:rsidR="00EB205A">
              <w:rPr>
                <w:rFonts w:ascii="Calibri" w:hAnsi="Calibri" w:cs="Calibri"/>
              </w:rPr>
              <w:t xml:space="preserve"> to inform our claims analyses and </w:t>
            </w:r>
          </w:p>
          <w:p w14:paraId="58D29C56" w14:textId="77777777" w:rsidR="006A5974" w:rsidRDefault="00EB205A" w:rsidP="006A5974">
            <w:pPr>
              <w:pStyle w:val="ListParagraph"/>
              <w:numPr>
                <w:ilvl w:val="0"/>
                <w:numId w:val="16"/>
              </w:numPr>
              <w:spacing w:before="0" w:after="0"/>
              <w:rPr>
                <w:rFonts w:ascii="Calibri" w:hAnsi="Calibri" w:cs="Calibri"/>
              </w:rPr>
            </w:pPr>
            <w:r>
              <w:rPr>
                <w:rFonts w:ascii="Calibri" w:hAnsi="Calibri" w:cs="Calibri"/>
              </w:rPr>
              <w:t xml:space="preserve">Gathering information through a survey </w:t>
            </w:r>
            <w:r w:rsidR="001F46C1">
              <w:rPr>
                <w:rFonts w:ascii="Calibri" w:hAnsi="Calibri" w:cs="Calibri"/>
              </w:rPr>
              <w:t xml:space="preserve">of Maine’s </w:t>
            </w:r>
            <w:r w:rsidR="003757AE">
              <w:rPr>
                <w:rFonts w:ascii="Calibri" w:hAnsi="Calibri" w:cs="Calibri"/>
              </w:rPr>
              <w:t xml:space="preserve">largest </w:t>
            </w:r>
            <w:r w:rsidR="001F46C1">
              <w:rPr>
                <w:rFonts w:ascii="Calibri" w:hAnsi="Calibri" w:cs="Calibri"/>
              </w:rPr>
              <w:t>insurers on how they define primary care</w:t>
            </w:r>
            <w:r w:rsidR="003757AE">
              <w:rPr>
                <w:rFonts w:ascii="Calibri" w:hAnsi="Calibri" w:cs="Calibri"/>
              </w:rPr>
              <w:t xml:space="preserve"> using information identified in the </w:t>
            </w:r>
            <w:r w:rsidR="001F46C1">
              <w:rPr>
                <w:rFonts w:ascii="Calibri" w:hAnsi="Calibri" w:cs="Calibri"/>
              </w:rPr>
              <w:t xml:space="preserve">environmental scan to inform the questionnaire. </w:t>
            </w:r>
          </w:p>
          <w:p w14:paraId="22C47CA4" w14:textId="77777777" w:rsidR="00D87B3A" w:rsidRPr="006A5974" w:rsidRDefault="00D87B3A" w:rsidP="003757AE">
            <w:pPr>
              <w:pStyle w:val="ListParagraph"/>
              <w:spacing w:before="0" w:after="0"/>
              <w:ind w:left="1095"/>
              <w:rPr>
                <w:rFonts w:ascii="Calibri" w:hAnsi="Calibri" w:cs="Calibri"/>
              </w:rPr>
            </w:pPr>
          </w:p>
        </w:tc>
      </w:tr>
      <w:tr w:rsidR="00951F5F" w14:paraId="767343AE" w14:textId="77777777" w:rsidTr="00024201">
        <w:tc>
          <w:tcPr>
            <w:tcW w:w="3510" w:type="dxa"/>
            <w:tcBorders>
              <w:bottom w:val="single" w:sz="4" w:space="0" w:color="auto"/>
              <w:right w:val="single" w:sz="6" w:space="0" w:color="auto"/>
            </w:tcBorders>
          </w:tcPr>
          <w:p w14:paraId="611484D3" w14:textId="77777777" w:rsidR="007E5B16" w:rsidRPr="007E5B16" w:rsidRDefault="00951F5F" w:rsidP="00EE1DDE">
            <w:pPr>
              <w:pStyle w:val="ListParagraph"/>
              <w:numPr>
                <w:ilvl w:val="0"/>
                <w:numId w:val="13"/>
              </w:numPr>
              <w:ind w:left="390"/>
              <w:rPr>
                <w:rFonts w:ascii="Calibri" w:hAnsi="Calibri" w:cs="Calibri"/>
                <w:b/>
              </w:rPr>
            </w:pPr>
            <w:r w:rsidRPr="007E5B16">
              <w:rPr>
                <w:rFonts w:ascii="Calibri" w:hAnsi="Calibri" w:cs="Calibri"/>
                <w:b/>
              </w:rPr>
              <w:t xml:space="preserve">Role of the Advisory Committee </w:t>
            </w:r>
            <w:r w:rsidR="008646BE" w:rsidRPr="008646BE">
              <w:rPr>
                <w:rFonts w:ascii="Calibri" w:hAnsi="Calibri" w:cs="Calibri"/>
              </w:rPr>
              <w:t>(Karynlee Harrington)</w:t>
            </w:r>
          </w:p>
        </w:tc>
        <w:tc>
          <w:tcPr>
            <w:tcW w:w="10890" w:type="dxa"/>
            <w:tcBorders>
              <w:left w:val="single" w:sz="6" w:space="0" w:color="auto"/>
              <w:bottom w:val="single" w:sz="4" w:space="0" w:color="auto"/>
            </w:tcBorders>
          </w:tcPr>
          <w:p w14:paraId="6B3875EE" w14:textId="77777777" w:rsidR="00951F5F" w:rsidRDefault="006A5974" w:rsidP="00213D08">
            <w:pPr>
              <w:spacing w:before="0" w:after="0"/>
              <w:ind w:left="0"/>
              <w:rPr>
                <w:rFonts w:ascii="Calibri" w:hAnsi="Calibri" w:cs="Calibri"/>
              </w:rPr>
            </w:pPr>
            <w:r>
              <w:rPr>
                <w:rFonts w:ascii="Calibri" w:hAnsi="Calibri" w:cs="Calibri"/>
              </w:rPr>
              <w:t xml:space="preserve">MQF is looking for feedback from the Advisory Committee on </w:t>
            </w:r>
            <w:r w:rsidR="00800A56">
              <w:rPr>
                <w:rFonts w:ascii="Calibri" w:hAnsi="Calibri" w:cs="Calibri"/>
              </w:rPr>
              <w:t>the</w:t>
            </w:r>
            <w:r w:rsidR="003757AE">
              <w:rPr>
                <w:rFonts w:ascii="Calibri" w:hAnsi="Calibri" w:cs="Calibri"/>
              </w:rPr>
              <w:t xml:space="preserve"> </w:t>
            </w:r>
            <w:r>
              <w:rPr>
                <w:rFonts w:ascii="Calibri" w:hAnsi="Calibri" w:cs="Calibri"/>
              </w:rPr>
              <w:t xml:space="preserve">proposed approach </w:t>
            </w:r>
            <w:r w:rsidR="003757AE">
              <w:rPr>
                <w:rFonts w:ascii="Calibri" w:hAnsi="Calibri" w:cs="Calibri"/>
              </w:rPr>
              <w:t xml:space="preserve">and primary care definitions identified from these sources to </w:t>
            </w:r>
            <w:r>
              <w:rPr>
                <w:rFonts w:ascii="Calibri" w:hAnsi="Calibri" w:cs="Calibri"/>
              </w:rPr>
              <w:t>calculate the percentage</w:t>
            </w:r>
            <w:r w:rsidR="003757AE">
              <w:rPr>
                <w:rFonts w:ascii="Calibri" w:hAnsi="Calibri" w:cs="Calibri"/>
              </w:rPr>
              <w:t xml:space="preserve"> of total medical spending spent on primary care</w:t>
            </w:r>
            <w:r w:rsidR="005E0482">
              <w:rPr>
                <w:rFonts w:ascii="Calibri" w:hAnsi="Calibri" w:cs="Calibri"/>
              </w:rPr>
              <w:t xml:space="preserve"> in Maine</w:t>
            </w:r>
            <w:r>
              <w:rPr>
                <w:rFonts w:ascii="Calibri" w:hAnsi="Calibri" w:cs="Calibri"/>
              </w:rPr>
              <w:t>.</w:t>
            </w:r>
          </w:p>
          <w:p w14:paraId="70111F26" w14:textId="77777777" w:rsidR="006A5974" w:rsidRDefault="006A5974" w:rsidP="00213D08">
            <w:pPr>
              <w:spacing w:before="0" w:after="0"/>
              <w:ind w:left="0"/>
              <w:rPr>
                <w:rFonts w:ascii="Calibri" w:hAnsi="Calibri" w:cs="Calibri"/>
              </w:rPr>
            </w:pPr>
          </w:p>
          <w:p w14:paraId="5BE4E007" w14:textId="5D020389" w:rsidR="006A5974" w:rsidRDefault="00800A56" w:rsidP="00800A56">
            <w:pPr>
              <w:spacing w:before="0" w:after="0"/>
              <w:ind w:left="0"/>
              <w:rPr>
                <w:rFonts w:ascii="Calibri" w:hAnsi="Calibri" w:cs="Calibri"/>
              </w:rPr>
            </w:pPr>
            <w:r>
              <w:rPr>
                <w:rFonts w:ascii="Calibri" w:hAnsi="Calibri" w:cs="Calibri"/>
              </w:rPr>
              <w:t xml:space="preserve">Karynlee </w:t>
            </w:r>
            <w:r w:rsidR="003757AE">
              <w:rPr>
                <w:rFonts w:ascii="Calibri" w:hAnsi="Calibri" w:cs="Calibri"/>
              </w:rPr>
              <w:t xml:space="preserve">proposed a schedule of </w:t>
            </w:r>
            <w:r w:rsidR="006A5974">
              <w:rPr>
                <w:rFonts w:ascii="Calibri" w:hAnsi="Calibri" w:cs="Calibri"/>
              </w:rPr>
              <w:t>two meetings</w:t>
            </w:r>
            <w:r w:rsidR="00824B4D">
              <w:rPr>
                <w:rFonts w:ascii="Calibri" w:hAnsi="Calibri" w:cs="Calibri"/>
              </w:rPr>
              <w:t xml:space="preserve"> </w:t>
            </w:r>
            <w:r w:rsidR="005E0482">
              <w:rPr>
                <w:rFonts w:ascii="Calibri" w:hAnsi="Calibri" w:cs="Calibri"/>
              </w:rPr>
              <w:t xml:space="preserve">of </w:t>
            </w:r>
            <w:r w:rsidR="006A5974">
              <w:rPr>
                <w:rFonts w:ascii="Calibri" w:hAnsi="Calibri" w:cs="Calibri"/>
              </w:rPr>
              <w:t>the Advisory Committee before the January report deadline</w:t>
            </w:r>
            <w:r w:rsidR="005E0482">
              <w:rPr>
                <w:rFonts w:ascii="Calibri" w:hAnsi="Calibri" w:cs="Calibri"/>
              </w:rPr>
              <w:t xml:space="preserve">. </w:t>
            </w:r>
            <w:r w:rsidR="00824B4D">
              <w:rPr>
                <w:rFonts w:ascii="Calibri" w:hAnsi="Calibri" w:cs="Calibri"/>
              </w:rPr>
              <w:t xml:space="preserve">  Group agreed to be flexible and do as much via e-mail as possible.  </w:t>
            </w:r>
          </w:p>
        </w:tc>
      </w:tr>
      <w:tr w:rsidR="00951F5F" w14:paraId="597AA3F4" w14:textId="77777777" w:rsidTr="00024201">
        <w:tc>
          <w:tcPr>
            <w:tcW w:w="3510" w:type="dxa"/>
            <w:tcBorders>
              <w:top w:val="single" w:sz="4" w:space="0" w:color="auto"/>
              <w:bottom w:val="double" w:sz="4" w:space="0" w:color="auto"/>
              <w:right w:val="single" w:sz="6" w:space="0" w:color="auto"/>
            </w:tcBorders>
          </w:tcPr>
          <w:p w14:paraId="3EF873EE" w14:textId="77777777" w:rsidR="00951F5F" w:rsidRPr="00951F5F" w:rsidRDefault="00951F5F" w:rsidP="002460C6">
            <w:pPr>
              <w:ind w:left="0"/>
              <w:rPr>
                <w:rFonts w:ascii="Calibri" w:hAnsi="Calibri" w:cs="Calibri"/>
                <w:b/>
              </w:rPr>
            </w:pPr>
            <w:r w:rsidRPr="007E5B16">
              <w:rPr>
                <w:rFonts w:ascii="Calibri" w:hAnsi="Calibri" w:cs="Calibri"/>
                <w:b/>
                <w:color w:val="0070C0"/>
              </w:rPr>
              <w:t>Defining Primary Care</w:t>
            </w:r>
          </w:p>
        </w:tc>
        <w:tc>
          <w:tcPr>
            <w:tcW w:w="10890" w:type="dxa"/>
            <w:tcBorders>
              <w:top w:val="single" w:sz="4" w:space="0" w:color="auto"/>
              <w:left w:val="single" w:sz="6" w:space="0" w:color="auto"/>
              <w:bottom w:val="double" w:sz="4" w:space="0" w:color="auto"/>
            </w:tcBorders>
          </w:tcPr>
          <w:p w14:paraId="5C8445E7" w14:textId="77777777" w:rsidR="00951F5F" w:rsidRDefault="00951F5F" w:rsidP="00213D08">
            <w:pPr>
              <w:spacing w:before="0" w:after="0"/>
              <w:ind w:left="0"/>
              <w:rPr>
                <w:rFonts w:ascii="Calibri" w:hAnsi="Calibri" w:cs="Calibri"/>
              </w:rPr>
            </w:pPr>
          </w:p>
        </w:tc>
      </w:tr>
      <w:tr w:rsidR="00951F5F" w14:paraId="49686BFC" w14:textId="77777777" w:rsidTr="00024201">
        <w:tc>
          <w:tcPr>
            <w:tcW w:w="3510" w:type="dxa"/>
            <w:tcBorders>
              <w:top w:val="double" w:sz="4" w:space="0" w:color="auto"/>
              <w:right w:val="single" w:sz="6" w:space="0" w:color="auto"/>
            </w:tcBorders>
          </w:tcPr>
          <w:p w14:paraId="50F0BD34" w14:textId="77777777" w:rsidR="00951F5F" w:rsidRDefault="007E5B16" w:rsidP="00EE1DDE">
            <w:pPr>
              <w:pStyle w:val="ListParagraph"/>
              <w:numPr>
                <w:ilvl w:val="0"/>
                <w:numId w:val="14"/>
              </w:numPr>
              <w:ind w:left="390"/>
              <w:rPr>
                <w:rFonts w:ascii="Calibri" w:hAnsi="Calibri" w:cs="Calibri"/>
                <w:b/>
              </w:rPr>
            </w:pPr>
            <w:r w:rsidRPr="007E5B16">
              <w:rPr>
                <w:rFonts w:ascii="Calibri" w:hAnsi="Calibri" w:cs="Calibri"/>
                <w:b/>
              </w:rPr>
              <w:t>Working Definition Based on Insurer Survey and Literature Review</w:t>
            </w:r>
          </w:p>
          <w:p w14:paraId="3E974D81" w14:textId="77777777" w:rsidR="008646BE" w:rsidRPr="008646BE" w:rsidRDefault="008646BE" w:rsidP="00337367">
            <w:pPr>
              <w:pStyle w:val="ListParagraph"/>
              <w:ind w:left="390"/>
              <w:rPr>
                <w:rFonts w:ascii="Calibri" w:hAnsi="Calibri" w:cs="Calibri"/>
              </w:rPr>
            </w:pPr>
            <w:r w:rsidRPr="008646BE">
              <w:rPr>
                <w:rFonts w:ascii="Calibri" w:hAnsi="Calibri" w:cs="Calibri"/>
              </w:rPr>
              <w:t>(Kim Fox)</w:t>
            </w:r>
          </w:p>
        </w:tc>
        <w:tc>
          <w:tcPr>
            <w:tcW w:w="10890" w:type="dxa"/>
            <w:tcBorders>
              <w:top w:val="double" w:sz="4" w:space="0" w:color="auto"/>
              <w:left w:val="single" w:sz="6" w:space="0" w:color="auto"/>
            </w:tcBorders>
          </w:tcPr>
          <w:p w14:paraId="4D8530FE" w14:textId="24682132" w:rsidR="006A5974" w:rsidRDefault="00D87B3A" w:rsidP="00213D08">
            <w:pPr>
              <w:spacing w:before="0" w:after="0"/>
              <w:ind w:left="0"/>
              <w:rPr>
                <w:rFonts w:ascii="Calibri" w:hAnsi="Calibri" w:cs="Calibri"/>
              </w:rPr>
            </w:pPr>
            <w:r>
              <w:rPr>
                <w:rFonts w:ascii="Calibri" w:hAnsi="Calibri" w:cs="Calibri"/>
              </w:rPr>
              <w:t xml:space="preserve">Kim Fox </w:t>
            </w:r>
            <w:r w:rsidR="00800A56">
              <w:rPr>
                <w:rFonts w:ascii="Calibri" w:hAnsi="Calibri" w:cs="Calibri"/>
              </w:rPr>
              <w:t xml:space="preserve">from the University of Southern Maine </w:t>
            </w:r>
            <w:r>
              <w:rPr>
                <w:rFonts w:ascii="Calibri" w:hAnsi="Calibri" w:cs="Calibri"/>
              </w:rPr>
              <w:t xml:space="preserve">described </w:t>
            </w:r>
            <w:r w:rsidR="00800A56">
              <w:rPr>
                <w:rFonts w:ascii="Calibri" w:hAnsi="Calibri" w:cs="Calibri"/>
              </w:rPr>
              <w:t>the</w:t>
            </w:r>
            <w:r w:rsidR="005E0482">
              <w:rPr>
                <w:rFonts w:ascii="Calibri" w:hAnsi="Calibri" w:cs="Calibri"/>
              </w:rPr>
              <w:t xml:space="preserve"> </w:t>
            </w:r>
            <w:r>
              <w:rPr>
                <w:rFonts w:ascii="Calibri" w:hAnsi="Calibri" w:cs="Calibri"/>
              </w:rPr>
              <w:t>process</w:t>
            </w:r>
            <w:r w:rsidR="006A5974">
              <w:rPr>
                <w:rFonts w:ascii="Calibri" w:hAnsi="Calibri" w:cs="Calibri"/>
              </w:rPr>
              <w:t xml:space="preserve"> </w:t>
            </w:r>
            <w:r>
              <w:rPr>
                <w:rFonts w:ascii="Calibri" w:hAnsi="Calibri" w:cs="Calibri"/>
              </w:rPr>
              <w:t>for</w:t>
            </w:r>
            <w:r w:rsidR="006A5974">
              <w:rPr>
                <w:rFonts w:ascii="Calibri" w:hAnsi="Calibri" w:cs="Calibri"/>
              </w:rPr>
              <w:t xml:space="preserve"> </w:t>
            </w:r>
            <w:r w:rsidR="005E0482">
              <w:rPr>
                <w:rFonts w:ascii="Calibri" w:hAnsi="Calibri" w:cs="Calibri"/>
              </w:rPr>
              <w:t xml:space="preserve">arriving at </w:t>
            </w:r>
            <w:r w:rsidR="0096456A">
              <w:rPr>
                <w:rFonts w:ascii="Calibri" w:hAnsi="Calibri" w:cs="Calibri"/>
              </w:rPr>
              <w:t>the</w:t>
            </w:r>
            <w:r w:rsidR="005E0482">
              <w:rPr>
                <w:rFonts w:ascii="Calibri" w:hAnsi="Calibri" w:cs="Calibri"/>
              </w:rPr>
              <w:t xml:space="preserve"> initial </w:t>
            </w:r>
            <w:r w:rsidR="006A5974">
              <w:rPr>
                <w:rFonts w:ascii="Calibri" w:hAnsi="Calibri" w:cs="Calibri"/>
              </w:rPr>
              <w:t>primary care</w:t>
            </w:r>
            <w:r>
              <w:rPr>
                <w:rFonts w:ascii="Calibri" w:hAnsi="Calibri" w:cs="Calibri"/>
              </w:rPr>
              <w:t xml:space="preserve"> definition</w:t>
            </w:r>
            <w:r w:rsidR="006A5974">
              <w:rPr>
                <w:rFonts w:ascii="Calibri" w:hAnsi="Calibri" w:cs="Calibri"/>
              </w:rPr>
              <w:t xml:space="preserve"> </w:t>
            </w:r>
            <w:r w:rsidR="0096456A">
              <w:rPr>
                <w:rFonts w:ascii="Calibri" w:hAnsi="Calibri" w:cs="Calibri"/>
              </w:rPr>
              <w:t xml:space="preserve">used for </w:t>
            </w:r>
            <w:r w:rsidR="006A5974">
              <w:rPr>
                <w:rFonts w:ascii="Calibri" w:hAnsi="Calibri" w:cs="Calibri"/>
              </w:rPr>
              <w:t xml:space="preserve">the preliminary </w:t>
            </w:r>
            <w:r w:rsidR="0096456A">
              <w:rPr>
                <w:rFonts w:ascii="Calibri" w:hAnsi="Calibri" w:cs="Calibri"/>
              </w:rPr>
              <w:t xml:space="preserve">claims </w:t>
            </w:r>
            <w:r w:rsidR="006A5974">
              <w:rPr>
                <w:rFonts w:ascii="Calibri" w:hAnsi="Calibri" w:cs="Calibri"/>
              </w:rPr>
              <w:t>analys</w:t>
            </w:r>
            <w:r w:rsidR="0096456A">
              <w:rPr>
                <w:rFonts w:ascii="Calibri" w:hAnsi="Calibri" w:cs="Calibri"/>
              </w:rPr>
              <w:t>e</w:t>
            </w:r>
            <w:r w:rsidR="006A5974">
              <w:rPr>
                <w:rFonts w:ascii="Calibri" w:hAnsi="Calibri" w:cs="Calibri"/>
              </w:rPr>
              <w:t>s</w:t>
            </w:r>
            <w:r w:rsidR="00293AF1">
              <w:rPr>
                <w:rFonts w:ascii="Calibri" w:hAnsi="Calibri" w:cs="Calibri"/>
              </w:rPr>
              <w:t xml:space="preserve"> as summarized in the </w:t>
            </w:r>
            <w:r w:rsidR="00ED2199">
              <w:rPr>
                <w:rFonts w:ascii="Calibri" w:hAnsi="Calibri" w:cs="Calibri"/>
              </w:rPr>
              <w:t>PowerPoint</w:t>
            </w:r>
            <w:r w:rsidR="00293AF1">
              <w:rPr>
                <w:rFonts w:ascii="Calibri" w:hAnsi="Calibri" w:cs="Calibri"/>
              </w:rPr>
              <w:t xml:space="preserve"> slide deck</w:t>
            </w:r>
            <w:r>
              <w:rPr>
                <w:rFonts w:ascii="Calibri" w:hAnsi="Calibri" w:cs="Calibri"/>
              </w:rPr>
              <w:t xml:space="preserve">. </w:t>
            </w:r>
          </w:p>
          <w:p w14:paraId="09B56608" w14:textId="77777777" w:rsidR="006A5974" w:rsidRDefault="006A5974" w:rsidP="00213D08">
            <w:pPr>
              <w:spacing w:before="0" w:after="0"/>
              <w:ind w:left="0"/>
              <w:rPr>
                <w:rFonts w:ascii="Calibri" w:hAnsi="Calibri" w:cs="Calibri"/>
              </w:rPr>
            </w:pPr>
          </w:p>
          <w:p w14:paraId="0F17E7A6" w14:textId="77777777" w:rsidR="006A5974" w:rsidRDefault="006A5974" w:rsidP="00213D08">
            <w:pPr>
              <w:spacing w:before="0" w:after="0"/>
              <w:ind w:left="0"/>
              <w:rPr>
                <w:rFonts w:ascii="Calibri" w:hAnsi="Calibri" w:cs="Calibri"/>
              </w:rPr>
            </w:pPr>
            <w:r>
              <w:rPr>
                <w:rFonts w:ascii="Calibri" w:hAnsi="Calibri" w:cs="Calibri"/>
              </w:rPr>
              <w:t xml:space="preserve">Environmental scan: </w:t>
            </w:r>
          </w:p>
          <w:p w14:paraId="231E7B43" w14:textId="77777777" w:rsidR="00C54085" w:rsidRDefault="006A5974" w:rsidP="00794718">
            <w:pPr>
              <w:pStyle w:val="ListParagraph"/>
              <w:numPr>
                <w:ilvl w:val="0"/>
                <w:numId w:val="14"/>
              </w:numPr>
              <w:spacing w:before="0" w:after="0"/>
              <w:rPr>
                <w:rFonts w:ascii="Calibri" w:hAnsi="Calibri" w:cs="Calibri"/>
              </w:rPr>
            </w:pPr>
            <w:r w:rsidRPr="00C54085">
              <w:rPr>
                <w:rFonts w:ascii="Calibri" w:hAnsi="Calibri" w:cs="Calibri"/>
              </w:rPr>
              <w:t xml:space="preserve">Six states </w:t>
            </w:r>
            <w:r w:rsidR="0096456A" w:rsidRPr="00C54085">
              <w:rPr>
                <w:rFonts w:ascii="Calibri" w:hAnsi="Calibri" w:cs="Calibri"/>
              </w:rPr>
              <w:t xml:space="preserve">have </w:t>
            </w:r>
            <w:r w:rsidRPr="00C54085">
              <w:rPr>
                <w:rFonts w:ascii="Calibri" w:hAnsi="Calibri" w:cs="Calibri"/>
              </w:rPr>
              <w:t xml:space="preserve">undertaken similar work </w:t>
            </w:r>
            <w:r w:rsidR="0096456A" w:rsidRPr="00C54085">
              <w:rPr>
                <w:rFonts w:ascii="Calibri" w:hAnsi="Calibri" w:cs="Calibri"/>
              </w:rPr>
              <w:t>to c</w:t>
            </w:r>
            <w:r w:rsidRPr="00C54085">
              <w:rPr>
                <w:rFonts w:ascii="Calibri" w:hAnsi="Calibri" w:cs="Calibri"/>
              </w:rPr>
              <w:t>alculat</w:t>
            </w:r>
            <w:r w:rsidR="0096456A" w:rsidRPr="00C54085">
              <w:rPr>
                <w:rFonts w:ascii="Calibri" w:hAnsi="Calibri" w:cs="Calibri"/>
              </w:rPr>
              <w:t xml:space="preserve">e primary care spend. </w:t>
            </w:r>
            <w:r w:rsidR="00293AF1" w:rsidRPr="00C54085">
              <w:rPr>
                <w:rFonts w:ascii="Calibri" w:hAnsi="Calibri" w:cs="Calibri"/>
              </w:rPr>
              <w:t xml:space="preserve">While there is some overlap in what states define as primary care in terms of the provider types and specific services included, </w:t>
            </w:r>
            <w:r w:rsidR="0096456A" w:rsidRPr="00C54085">
              <w:rPr>
                <w:rFonts w:ascii="Calibri" w:hAnsi="Calibri" w:cs="Calibri"/>
              </w:rPr>
              <w:t>t</w:t>
            </w:r>
            <w:r w:rsidR="00D87B3A" w:rsidRPr="00C54085">
              <w:rPr>
                <w:rFonts w:ascii="Calibri" w:hAnsi="Calibri" w:cs="Calibri"/>
              </w:rPr>
              <w:t xml:space="preserve">here is no standard </w:t>
            </w:r>
            <w:r w:rsidRPr="00C54085">
              <w:rPr>
                <w:rFonts w:ascii="Calibri" w:hAnsi="Calibri" w:cs="Calibri"/>
              </w:rPr>
              <w:t>definition</w:t>
            </w:r>
            <w:r w:rsidR="00293AF1" w:rsidRPr="00C54085">
              <w:rPr>
                <w:rFonts w:ascii="Calibri" w:hAnsi="Calibri" w:cs="Calibri"/>
              </w:rPr>
              <w:t>. B</w:t>
            </w:r>
            <w:r w:rsidR="0096456A" w:rsidRPr="00C54085">
              <w:rPr>
                <w:rFonts w:ascii="Calibri" w:hAnsi="Calibri" w:cs="Calibri"/>
              </w:rPr>
              <w:t xml:space="preserve">oth </w:t>
            </w:r>
            <w:r w:rsidR="00293AF1" w:rsidRPr="00C54085">
              <w:rPr>
                <w:rFonts w:ascii="Calibri" w:hAnsi="Calibri" w:cs="Calibri"/>
              </w:rPr>
              <w:t xml:space="preserve">the </w:t>
            </w:r>
            <w:r w:rsidR="0096456A" w:rsidRPr="00C54085">
              <w:rPr>
                <w:rFonts w:ascii="Calibri" w:hAnsi="Calibri" w:cs="Calibri"/>
              </w:rPr>
              <w:t xml:space="preserve">numerators (i.e. what is </w:t>
            </w:r>
            <w:r w:rsidR="00293AF1" w:rsidRPr="00C54085">
              <w:rPr>
                <w:rFonts w:ascii="Calibri" w:hAnsi="Calibri" w:cs="Calibri"/>
              </w:rPr>
              <w:t xml:space="preserve">included/counted </w:t>
            </w:r>
            <w:r w:rsidR="0096456A" w:rsidRPr="00C54085">
              <w:rPr>
                <w:rFonts w:ascii="Calibri" w:hAnsi="Calibri" w:cs="Calibri"/>
              </w:rPr>
              <w:t xml:space="preserve">as primary care) and </w:t>
            </w:r>
            <w:r w:rsidR="00293AF1" w:rsidRPr="00C54085">
              <w:rPr>
                <w:rFonts w:ascii="Calibri" w:hAnsi="Calibri" w:cs="Calibri"/>
              </w:rPr>
              <w:t xml:space="preserve">the </w:t>
            </w:r>
            <w:r w:rsidR="0096456A" w:rsidRPr="00C54085">
              <w:rPr>
                <w:rFonts w:ascii="Calibri" w:hAnsi="Calibri" w:cs="Calibri"/>
              </w:rPr>
              <w:t>d</w:t>
            </w:r>
            <w:r w:rsidRPr="00C54085">
              <w:rPr>
                <w:rFonts w:ascii="Calibri" w:hAnsi="Calibri" w:cs="Calibri"/>
              </w:rPr>
              <w:t>enominators</w:t>
            </w:r>
            <w:r w:rsidR="00D87B3A" w:rsidRPr="00C54085">
              <w:rPr>
                <w:rFonts w:ascii="Calibri" w:hAnsi="Calibri" w:cs="Calibri"/>
              </w:rPr>
              <w:t xml:space="preserve"> </w:t>
            </w:r>
            <w:r w:rsidR="0096456A" w:rsidRPr="00C54085">
              <w:rPr>
                <w:rFonts w:ascii="Calibri" w:hAnsi="Calibri" w:cs="Calibri"/>
              </w:rPr>
              <w:t>(i.e. what is included in the definition of total health care spending) can vary across states</w:t>
            </w:r>
            <w:r w:rsidR="00C50003" w:rsidRPr="00C54085">
              <w:rPr>
                <w:rFonts w:ascii="Calibri" w:hAnsi="Calibri" w:cs="Calibri"/>
              </w:rPr>
              <w:t xml:space="preserve">. Benchmarks from </w:t>
            </w:r>
            <w:r w:rsidR="0096456A" w:rsidRPr="00C54085">
              <w:rPr>
                <w:rFonts w:ascii="Calibri" w:hAnsi="Calibri" w:cs="Calibri"/>
              </w:rPr>
              <w:t>th</w:t>
            </w:r>
            <w:r w:rsidR="00C50003" w:rsidRPr="00C54085">
              <w:rPr>
                <w:rFonts w:ascii="Calibri" w:hAnsi="Calibri" w:cs="Calibri"/>
              </w:rPr>
              <w:t>ese</w:t>
            </w:r>
            <w:r w:rsidR="0096456A" w:rsidRPr="00C54085">
              <w:rPr>
                <w:rFonts w:ascii="Calibri" w:hAnsi="Calibri" w:cs="Calibri"/>
              </w:rPr>
              <w:t xml:space="preserve"> states </w:t>
            </w:r>
            <w:r w:rsidR="00C50003" w:rsidRPr="00C54085">
              <w:rPr>
                <w:rFonts w:ascii="Calibri" w:hAnsi="Calibri" w:cs="Calibri"/>
              </w:rPr>
              <w:t xml:space="preserve">are included </w:t>
            </w:r>
            <w:r w:rsidR="0096456A" w:rsidRPr="00C54085">
              <w:rPr>
                <w:rFonts w:ascii="Calibri" w:hAnsi="Calibri" w:cs="Calibri"/>
              </w:rPr>
              <w:t xml:space="preserve">in the </w:t>
            </w:r>
            <w:r w:rsidRPr="00C54085">
              <w:rPr>
                <w:rFonts w:ascii="Calibri" w:hAnsi="Calibri" w:cs="Calibri"/>
              </w:rPr>
              <w:t xml:space="preserve">PPT slide </w:t>
            </w:r>
            <w:r w:rsidR="0096456A" w:rsidRPr="00C54085">
              <w:rPr>
                <w:rFonts w:ascii="Calibri" w:hAnsi="Calibri" w:cs="Calibri"/>
              </w:rPr>
              <w:t>presentation</w:t>
            </w:r>
            <w:r w:rsidR="006810A3">
              <w:rPr>
                <w:rFonts w:ascii="Calibri" w:hAnsi="Calibri" w:cs="Calibri"/>
              </w:rPr>
              <w:t xml:space="preserve"> for ballpark comparison</w:t>
            </w:r>
            <w:r w:rsidR="00C50003" w:rsidRPr="00C54085">
              <w:rPr>
                <w:rFonts w:ascii="Calibri" w:hAnsi="Calibri" w:cs="Calibri"/>
              </w:rPr>
              <w:t xml:space="preserve">, </w:t>
            </w:r>
            <w:r w:rsidR="00C54085" w:rsidRPr="00C54085">
              <w:rPr>
                <w:rFonts w:ascii="Calibri" w:hAnsi="Calibri" w:cs="Calibri"/>
              </w:rPr>
              <w:t xml:space="preserve">but </w:t>
            </w:r>
            <w:r w:rsidR="006810A3">
              <w:rPr>
                <w:rFonts w:ascii="Calibri" w:hAnsi="Calibri" w:cs="Calibri"/>
              </w:rPr>
              <w:t xml:space="preserve">Kim noted they are not </w:t>
            </w:r>
            <w:r w:rsidR="00C54085" w:rsidRPr="00C54085">
              <w:rPr>
                <w:rFonts w:ascii="Calibri" w:hAnsi="Calibri" w:cs="Calibri"/>
              </w:rPr>
              <w:t>directly comparable given different definitions</w:t>
            </w:r>
            <w:r w:rsidR="006810A3">
              <w:rPr>
                <w:rFonts w:ascii="Calibri" w:hAnsi="Calibri" w:cs="Calibri"/>
              </w:rPr>
              <w:t xml:space="preserve"> used</w:t>
            </w:r>
            <w:r w:rsidR="00C54085" w:rsidRPr="00C54085">
              <w:rPr>
                <w:rFonts w:ascii="Calibri" w:hAnsi="Calibri" w:cs="Calibri"/>
              </w:rPr>
              <w:t xml:space="preserve">. </w:t>
            </w:r>
          </w:p>
          <w:p w14:paraId="636B7668" w14:textId="3C2900AA" w:rsidR="006A5974" w:rsidRPr="00C54085" w:rsidRDefault="00C50003" w:rsidP="00794718">
            <w:pPr>
              <w:pStyle w:val="ListParagraph"/>
              <w:numPr>
                <w:ilvl w:val="0"/>
                <w:numId w:val="14"/>
              </w:numPr>
              <w:spacing w:before="0" w:after="0"/>
              <w:rPr>
                <w:rFonts w:ascii="Calibri" w:hAnsi="Calibri" w:cs="Calibri"/>
              </w:rPr>
            </w:pPr>
            <w:r w:rsidRPr="00C54085">
              <w:rPr>
                <w:rFonts w:ascii="Calibri" w:hAnsi="Calibri" w:cs="Calibri"/>
              </w:rPr>
              <w:lastRenderedPageBreak/>
              <w:t xml:space="preserve">Several national studies funded by the Milbank Memorial Fund and the PCPCC have also moved toward developing a standard definition of primary care. Specifications from these studies also informed </w:t>
            </w:r>
            <w:r w:rsidR="004119F1">
              <w:rPr>
                <w:rFonts w:ascii="Calibri" w:hAnsi="Calibri" w:cs="Calibri"/>
              </w:rPr>
              <w:t xml:space="preserve">the </w:t>
            </w:r>
            <w:r w:rsidRPr="00C54085">
              <w:rPr>
                <w:rFonts w:ascii="Calibri" w:hAnsi="Calibri" w:cs="Calibri"/>
              </w:rPr>
              <w:t>identification of provider types and service codes for the analyses.</w:t>
            </w:r>
          </w:p>
          <w:p w14:paraId="2CAA4F0C" w14:textId="77777777" w:rsidR="00D87B3A" w:rsidRDefault="00D87B3A" w:rsidP="00213D08">
            <w:pPr>
              <w:spacing w:before="0" w:after="0"/>
              <w:ind w:left="0"/>
              <w:rPr>
                <w:rFonts w:ascii="Calibri" w:hAnsi="Calibri" w:cs="Calibri"/>
              </w:rPr>
            </w:pPr>
          </w:p>
          <w:p w14:paraId="1CA73BFB" w14:textId="50244DD3" w:rsidR="006A5974" w:rsidRDefault="00C12B45" w:rsidP="00213D08">
            <w:pPr>
              <w:spacing w:before="0" w:after="0"/>
              <w:ind w:left="0"/>
              <w:rPr>
                <w:rFonts w:ascii="Calibri" w:hAnsi="Calibri" w:cs="Calibri"/>
              </w:rPr>
            </w:pPr>
            <w:r>
              <w:rPr>
                <w:rFonts w:ascii="Calibri" w:hAnsi="Calibri" w:cs="Calibri"/>
              </w:rPr>
              <w:t>Insurer</w:t>
            </w:r>
            <w:r w:rsidR="006A5974">
              <w:rPr>
                <w:rFonts w:ascii="Calibri" w:hAnsi="Calibri" w:cs="Calibri"/>
              </w:rPr>
              <w:t xml:space="preserve"> survey:</w:t>
            </w:r>
          </w:p>
          <w:p w14:paraId="56B4BDA3" w14:textId="341AE9E9" w:rsidR="006A5974" w:rsidRDefault="006A5974" w:rsidP="006A5974">
            <w:pPr>
              <w:pStyle w:val="ListParagraph"/>
              <w:numPr>
                <w:ilvl w:val="0"/>
                <w:numId w:val="17"/>
              </w:numPr>
              <w:spacing w:before="0" w:after="0"/>
              <w:rPr>
                <w:rFonts w:ascii="Calibri" w:hAnsi="Calibri" w:cs="Calibri"/>
              </w:rPr>
            </w:pPr>
            <w:r>
              <w:rPr>
                <w:rFonts w:ascii="Calibri" w:hAnsi="Calibri" w:cs="Calibri"/>
              </w:rPr>
              <w:t xml:space="preserve">Insurers were asked about what </w:t>
            </w:r>
            <w:r w:rsidR="005E0482">
              <w:rPr>
                <w:rFonts w:ascii="Calibri" w:hAnsi="Calibri" w:cs="Calibri"/>
              </w:rPr>
              <w:t xml:space="preserve">provider types, specific </w:t>
            </w:r>
            <w:r w:rsidR="00A26FFA">
              <w:rPr>
                <w:rFonts w:ascii="Calibri" w:hAnsi="Calibri" w:cs="Calibri"/>
              </w:rPr>
              <w:t>service</w:t>
            </w:r>
            <w:r w:rsidR="005E0482">
              <w:rPr>
                <w:rFonts w:ascii="Calibri" w:hAnsi="Calibri" w:cs="Calibri"/>
              </w:rPr>
              <w:t>s</w:t>
            </w:r>
            <w:r>
              <w:rPr>
                <w:rFonts w:ascii="Calibri" w:hAnsi="Calibri" w:cs="Calibri"/>
              </w:rPr>
              <w:t xml:space="preserve"> and non-claims based payments </w:t>
            </w:r>
            <w:r w:rsidR="005E0482">
              <w:rPr>
                <w:rFonts w:ascii="Calibri" w:hAnsi="Calibri" w:cs="Calibri"/>
              </w:rPr>
              <w:t xml:space="preserve">they use to define </w:t>
            </w:r>
            <w:r>
              <w:rPr>
                <w:rFonts w:ascii="Calibri" w:hAnsi="Calibri" w:cs="Calibri"/>
              </w:rPr>
              <w:t>primary care</w:t>
            </w:r>
            <w:r w:rsidR="0096456A">
              <w:rPr>
                <w:rFonts w:ascii="Calibri" w:hAnsi="Calibri" w:cs="Calibri"/>
              </w:rPr>
              <w:t xml:space="preserve"> using general categories that have been used in other states and allowing them to indicate other codes they may use</w:t>
            </w:r>
            <w:r>
              <w:rPr>
                <w:rFonts w:ascii="Calibri" w:hAnsi="Calibri" w:cs="Calibri"/>
              </w:rPr>
              <w:t xml:space="preserve">. </w:t>
            </w:r>
            <w:r w:rsidR="0072075E">
              <w:rPr>
                <w:rFonts w:ascii="Calibri" w:hAnsi="Calibri" w:cs="Calibri"/>
              </w:rPr>
              <w:t xml:space="preserve">For </w:t>
            </w:r>
            <w:r w:rsidR="005E0482">
              <w:rPr>
                <w:rFonts w:ascii="Calibri" w:hAnsi="Calibri" w:cs="Calibri"/>
              </w:rPr>
              <w:t>non-claims based payment</w:t>
            </w:r>
            <w:r w:rsidR="00ED2199">
              <w:rPr>
                <w:rFonts w:ascii="Calibri" w:hAnsi="Calibri" w:cs="Calibri"/>
              </w:rPr>
              <w:t xml:space="preserve">s, </w:t>
            </w:r>
            <w:r w:rsidR="0072075E">
              <w:rPr>
                <w:rFonts w:ascii="Calibri" w:hAnsi="Calibri" w:cs="Calibri"/>
              </w:rPr>
              <w:t xml:space="preserve">insurers </w:t>
            </w:r>
            <w:r w:rsidR="004119F1">
              <w:rPr>
                <w:rFonts w:ascii="Calibri" w:hAnsi="Calibri" w:cs="Calibri"/>
              </w:rPr>
              <w:t xml:space="preserve">were asked </w:t>
            </w:r>
            <w:r w:rsidR="0072075E">
              <w:rPr>
                <w:rFonts w:ascii="Calibri" w:hAnsi="Calibri" w:cs="Calibri"/>
              </w:rPr>
              <w:t xml:space="preserve">to indicate the degree to which they use and currently measure the </w:t>
            </w:r>
            <w:r w:rsidR="005E0482">
              <w:rPr>
                <w:rFonts w:ascii="Calibri" w:hAnsi="Calibri" w:cs="Calibri"/>
              </w:rPr>
              <w:t xml:space="preserve">categories </w:t>
            </w:r>
            <w:r w:rsidR="0072075E">
              <w:rPr>
                <w:rFonts w:ascii="Calibri" w:hAnsi="Calibri" w:cs="Calibri"/>
              </w:rPr>
              <w:t xml:space="preserve">of non-claims based payments </w:t>
            </w:r>
            <w:r w:rsidR="005E0482">
              <w:rPr>
                <w:rFonts w:ascii="Calibri" w:hAnsi="Calibri" w:cs="Calibri"/>
              </w:rPr>
              <w:t>that</w:t>
            </w:r>
            <w:r>
              <w:rPr>
                <w:rFonts w:ascii="Calibri" w:hAnsi="Calibri" w:cs="Calibri"/>
              </w:rPr>
              <w:t xml:space="preserve"> Rhode Isla</w:t>
            </w:r>
            <w:r w:rsidR="00121D78">
              <w:rPr>
                <w:rFonts w:ascii="Calibri" w:hAnsi="Calibri" w:cs="Calibri"/>
              </w:rPr>
              <w:t>nd</w:t>
            </w:r>
            <w:r w:rsidR="00182C26">
              <w:rPr>
                <w:rFonts w:ascii="Calibri" w:hAnsi="Calibri" w:cs="Calibri"/>
              </w:rPr>
              <w:t>, Oregon</w:t>
            </w:r>
            <w:r w:rsidR="004119F1">
              <w:rPr>
                <w:rFonts w:ascii="Calibri" w:hAnsi="Calibri" w:cs="Calibri"/>
              </w:rPr>
              <w:t xml:space="preserve"> </w:t>
            </w:r>
            <w:r w:rsidR="0072075E">
              <w:rPr>
                <w:rFonts w:ascii="Calibri" w:hAnsi="Calibri" w:cs="Calibri"/>
              </w:rPr>
              <w:t xml:space="preserve">and other states </w:t>
            </w:r>
            <w:r w:rsidR="009B7AD0">
              <w:rPr>
                <w:rFonts w:ascii="Calibri" w:hAnsi="Calibri" w:cs="Calibri"/>
              </w:rPr>
              <w:t xml:space="preserve">require insurers to report to the </w:t>
            </w:r>
            <w:r w:rsidR="007D5A53">
              <w:rPr>
                <w:rFonts w:ascii="Calibri" w:hAnsi="Calibri" w:cs="Calibri"/>
              </w:rPr>
              <w:t>Dept.</w:t>
            </w:r>
            <w:r w:rsidR="009B7AD0">
              <w:rPr>
                <w:rFonts w:ascii="Calibri" w:hAnsi="Calibri" w:cs="Calibri"/>
              </w:rPr>
              <w:t xml:space="preserve"> of Insurance. </w:t>
            </w:r>
          </w:p>
          <w:p w14:paraId="6EDBEB8E" w14:textId="38E304F8" w:rsidR="00C50003" w:rsidRDefault="00C50003" w:rsidP="006A5974">
            <w:pPr>
              <w:pStyle w:val="ListParagraph"/>
              <w:numPr>
                <w:ilvl w:val="0"/>
                <w:numId w:val="17"/>
              </w:numPr>
              <w:spacing w:before="0" w:after="0"/>
              <w:rPr>
                <w:rFonts w:ascii="Calibri" w:hAnsi="Calibri" w:cs="Calibri"/>
              </w:rPr>
            </w:pPr>
            <w:r>
              <w:rPr>
                <w:rFonts w:ascii="Calibri" w:hAnsi="Calibri" w:cs="Calibri"/>
              </w:rPr>
              <w:t xml:space="preserve">Based on 5 out of </w:t>
            </w:r>
            <w:r w:rsidR="00E228E0">
              <w:rPr>
                <w:rFonts w:ascii="Calibri" w:hAnsi="Calibri" w:cs="Calibri"/>
              </w:rPr>
              <w:t>8</w:t>
            </w:r>
            <w:r>
              <w:rPr>
                <w:rFonts w:ascii="Calibri" w:hAnsi="Calibri" w:cs="Calibri"/>
              </w:rPr>
              <w:t xml:space="preserve"> </w:t>
            </w:r>
            <w:r w:rsidR="00D70467">
              <w:rPr>
                <w:rFonts w:ascii="Calibri" w:hAnsi="Calibri" w:cs="Calibri"/>
              </w:rPr>
              <w:t xml:space="preserve">Maine </w:t>
            </w:r>
            <w:r>
              <w:rPr>
                <w:rFonts w:ascii="Calibri" w:hAnsi="Calibri" w:cs="Calibri"/>
              </w:rPr>
              <w:t>insurers</w:t>
            </w:r>
            <w:r w:rsidR="00D70467">
              <w:rPr>
                <w:rFonts w:ascii="Calibri" w:hAnsi="Calibri" w:cs="Calibri"/>
              </w:rPr>
              <w:t>’</w:t>
            </w:r>
            <w:r>
              <w:rPr>
                <w:rFonts w:ascii="Calibri" w:hAnsi="Calibri" w:cs="Calibri"/>
              </w:rPr>
              <w:t xml:space="preserve"> surveyed, most payers </w:t>
            </w:r>
            <w:r w:rsidR="00D70467">
              <w:rPr>
                <w:rFonts w:ascii="Calibri" w:hAnsi="Calibri" w:cs="Calibri"/>
              </w:rPr>
              <w:t xml:space="preserve">use similar definitions to those identified in other states in terms of provider type (e.g. </w:t>
            </w:r>
            <w:r>
              <w:rPr>
                <w:rFonts w:ascii="Calibri" w:hAnsi="Calibri" w:cs="Calibri"/>
              </w:rPr>
              <w:t>include family medicine, pediatrics, internal medicine</w:t>
            </w:r>
            <w:r w:rsidR="00D70467">
              <w:rPr>
                <w:rFonts w:ascii="Calibri" w:hAnsi="Calibri" w:cs="Calibri"/>
              </w:rPr>
              <w:t>) and services as shown in slides.</w:t>
            </w:r>
          </w:p>
          <w:p w14:paraId="05E8A285" w14:textId="35C6E90B" w:rsidR="00D70467" w:rsidRDefault="00D70467" w:rsidP="006A5974">
            <w:pPr>
              <w:pStyle w:val="ListParagraph"/>
              <w:numPr>
                <w:ilvl w:val="0"/>
                <w:numId w:val="17"/>
              </w:numPr>
              <w:spacing w:before="0" w:after="0"/>
              <w:rPr>
                <w:rFonts w:ascii="Calibri" w:hAnsi="Calibri" w:cs="Calibri"/>
              </w:rPr>
            </w:pPr>
            <w:r>
              <w:rPr>
                <w:rFonts w:ascii="Calibri" w:hAnsi="Calibri" w:cs="Calibri"/>
              </w:rPr>
              <w:t xml:space="preserve">Related to non-claims based payments, there is a lot of variability between payers, but no Maine insurer uses capitated or salary based payments. Several use some form of risk-based payments or </w:t>
            </w:r>
            <w:r w:rsidR="001003AA">
              <w:rPr>
                <w:rFonts w:ascii="Calibri" w:hAnsi="Calibri" w:cs="Calibri"/>
              </w:rPr>
              <w:t xml:space="preserve">provider </w:t>
            </w:r>
            <w:r>
              <w:rPr>
                <w:rFonts w:ascii="Calibri" w:hAnsi="Calibri" w:cs="Calibri"/>
              </w:rPr>
              <w:t xml:space="preserve">incentive payments that are not counted in claims. </w:t>
            </w:r>
          </w:p>
          <w:p w14:paraId="48AF8C93" w14:textId="58B9A993" w:rsidR="00DF4B63" w:rsidRDefault="00DF4B63" w:rsidP="00DF4B63">
            <w:pPr>
              <w:pStyle w:val="ListParagraph"/>
              <w:numPr>
                <w:ilvl w:val="0"/>
                <w:numId w:val="17"/>
              </w:numPr>
              <w:spacing w:before="0" w:after="0"/>
              <w:rPr>
                <w:rFonts w:ascii="Calibri" w:hAnsi="Calibri" w:cs="Calibri"/>
              </w:rPr>
            </w:pPr>
            <w:r>
              <w:rPr>
                <w:rFonts w:ascii="Calibri" w:hAnsi="Calibri" w:cs="Calibri"/>
              </w:rPr>
              <w:t>Karynlee stressed the importance of accounting for the</w:t>
            </w:r>
            <w:r w:rsidR="00D70467">
              <w:rPr>
                <w:rFonts w:ascii="Calibri" w:hAnsi="Calibri" w:cs="Calibri"/>
              </w:rPr>
              <w:t>se</w:t>
            </w:r>
            <w:r>
              <w:rPr>
                <w:rFonts w:ascii="Calibri" w:hAnsi="Calibri" w:cs="Calibri"/>
              </w:rPr>
              <w:t xml:space="preserve"> non-claims based payments. </w:t>
            </w:r>
            <w:r w:rsidR="004119F1">
              <w:rPr>
                <w:rFonts w:ascii="Calibri" w:hAnsi="Calibri" w:cs="Calibri"/>
              </w:rPr>
              <w:t>Based on a recent c</w:t>
            </w:r>
            <w:r w:rsidR="00AE5484">
              <w:rPr>
                <w:rFonts w:ascii="Calibri" w:hAnsi="Calibri" w:cs="Calibri"/>
              </w:rPr>
              <w:t>onversation with a large insurer</w:t>
            </w:r>
            <w:r>
              <w:rPr>
                <w:rFonts w:ascii="Calibri" w:hAnsi="Calibri" w:cs="Calibri"/>
              </w:rPr>
              <w:t xml:space="preserve"> </w:t>
            </w:r>
            <w:r w:rsidR="00AE5484">
              <w:rPr>
                <w:rFonts w:ascii="Calibri" w:hAnsi="Calibri" w:cs="Calibri"/>
              </w:rPr>
              <w:t xml:space="preserve">that </w:t>
            </w:r>
            <w:r w:rsidR="00824B4D">
              <w:rPr>
                <w:rFonts w:ascii="Calibri" w:hAnsi="Calibri" w:cs="Calibri"/>
              </w:rPr>
              <w:t>provides non</w:t>
            </w:r>
            <w:r>
              <w:rPr>
                <w:rFonts w:ascii="Calibri" w:hAnsi="Calibri" w:cs="Calibri"/>
              </w:rPr>
              <w:t>-claims based</w:t>
            </w:r>
            <w:r w:rsidR="00FD64D8">
              <w:rPr>
                <w:rFonts w:ascii="Calibri" w:hAnsi="Calibri" w:cs="Calibri"/>
              </w:rPr>
              <w:t>,</w:t>
            </w:r>
            <w:r>
              <w:rPr>
                <w:rFonts w:ascii="Calibri" w:hAnsi="Calibri" w:cs="Calibri"/>
              </w:rPr>
              <w:t xml:space="preserve"> per member per month payments to primary care that is paid out </w:t>
            </w:r>
            <w:r w:rsidR="00F6547C">
              <w:rPr>
                <w:rFonts w:ascii="Calibri" w:hAnsi="Calibri" w:cs="Calibri"/>
              </w:rPr>
              <w:t>for</w:t>
            </w:r>
            <w:r>
              <w:rPr>
                <w:rFonts w:ascii="Calibri" w:hAnsi="Calibri" w:cs="Calibri"/>
              </w:rPr>
              <w:t xml:space="preserve"> about 80% of the members. These amount to millions of dollars and aren’t currently captured by MHDO. Collecting data on alternative payment models is being discussed by the National Association of Health Data Organizations. They will be discussing ways to standardize collection among the states. We need to figure out how to capture this and the MHDO Board will need to provide some direction. </w:t>
            </w:r>
          </w:p>
          <w:p w14:paraId="471345C5" w14:textId="42EA2133" w:rsidR="00C434FF" w:rsidRPr="00024201" w:rsidRDefault="00DF4B63" w:rsidP="00024201">
            <w:pPr>
              <w:pStyle w:val="ListParagraph"/>
              <w:numPr>
                <w:ilvl w:val="0"/>
                <w:numId w:val="17"/>
              </w:numPr>
              <w:spacing w:before="0" w:after="0"/>
              <w:rPr>
                <w:rFonts w:ascii="Calibri" w:hAnsi="Calibri" w:cs="Calibri"/>
              </w:rPr>
            </w:pPr>
            <w:r>
              <w:rPr>
                <w:rFonts w:ascii="Calibri" w:hAnsi="Calibri" w:cs="Calibri"/>
              </w:rPr>
              <w:t xml:space="preserve">Kim </w:t>
            </w:r>
            <w:r w:rsidR="00D70467">
              <w:rPr>
                <w:rFonts w:ascii="Calibri" w:hAnsi="Calibri" w:cs="Calibri"/>
              </w:rPr>
              <w:t>Fox also</w:t>
            </w:r>
            <w:r>
              <w:rPr>
                <w:rFonts w:ascii="Calibri" w:hAnsi="Calibri" w:cs="Calibri"/>
              </w:rPr>
              <w:t xml:space="preserve"> ha</w:t>
            </w:r>
            <w:r w:rsidR="00D70467">
              <w:rPr>
                <w:rFonts w:ascii="Calibri" w:hAnsi="Calibri" w:cs="Calibri"/>
              </w:rPr>
              <w:t>d</w:t>
            </w:r>
            <w:r>
              <w:rPr>
                <w:rFonts w:ascii="Calibri" w:hAnsi="Calibri" w:cs="Calibri"/>
              </w:rPr>
              <w:t xml:space="preserve"> </w:t>
            </w:r>
            <w:r w:rsidR="00D70467">
              <w:rPr>
                <w:rFonts w:ascii="Calibri" w:hAnsi="Calibri" w:cs="Calibri"/>
              </w:rPr>
              <w:t xml:space="preserve">recently </w:t>
            </w:r>
            <w:r>
              <w:rPr>
                <w:rFonts w:ascii="Calibri" w:hAnsi="Calibri" w:cs="Calibri"/>
              </w:rPr>
              <w:t xml:space="preserve">participated in a meeting </w:t>
            </w:r>
            <w:r w:rsidR="00D70467">
              <w:rPr>
                <w:rFonts w:ascii="Calibri" w:hAnsi="Calibri" w:cs="Calibri"/>
              </w:rPr>
              <w:t>of New England States (</w:t>
            </w:r>
            <w:r w:rsidR="0037765F">
              <w:rPr>
                <w:rFonts w:ascii="Calibri" w:hAnsi="Calibri" w:cs="Calibri"/>
              </w:rPr>
              <w:t>NESC</w:t>
            </w:r>
            <w:r>
              <w:rPr>
                <w:rFonts w:ascii="Calibri" w:hAnsi="Calibri" w:cs="Calibri"/>
              </w:rPr>
              <w:t>O</w:t>
            </w:r>
            <w:r w:rsidR="00D70467">
              <w:rPr>
                <w:rFonts w:ascii="Calibri" w:hAnsi="Calibri" w:cs="Calibri"/>
              </w:rPr>
              <w:t>)</w:t>
            </w:r>
            <w:r>
              <w:rPr>
                <w:rFonts w:ascii="Calibri" w:hAnsi="Calibri" w:cs="Calibri"/>
              </w:rPr>
              <w:t>, which is working to create a standardized definition across the New England states</w:t>
            </w:r>
            <w:r w:rsidR="00D70467">
              <w:rPr>
                <w:rFonts w:ascii="Calibri" w:hAnsi="Calibri" w:cs="Calibri"/>
              </w:rPr>
              <w:t xml:space="preserve"> including non-claims based payments</w:t>
            </w:r>
            <w:r>
              <w:rPr>
                <w:rFonts w:ascii="Calibri" w:hAnsi="Calibri" w:cs="Calibri"/>
              </w:rPr>
              <w:t>. In Rhode Island</w:t>
            </w:r>
            <w:r w:rsidR="006810A3">
              <w:rPr>
                <w:rFonts w:ascii="Calibri" w:hAnsi="Calibri" w:cs="Calibri"/>
              </w:rPr>
              <w:t xml:space="preserve"> where they have required insurers to submit data on </w:t>
            </w:r>
            <w:r>
              <w:rPr>
                <w:rFonts w:ascii="Calibri" w:hAnsi="Calibri" w:cs="Calibri"/>
              </w:rPr>
              <w:t>non-claims based payments</w:t>
            </w:r>
            <w:r w:rsidR="006810A3">
              <w:rPr>
                <w:rFonts w:ascii="Calibri" w:hAnsi="Calibri" w:cs="Calibri"/>
              </w:rPr>
              <w:t xml:space="preserve">, these </w:t>
            </w:r>
            <w:r>
              <w:rPr>
                <w:rFonts w:ascii="Calibri" w:hAnsi="Calibri" w:cs="Calibri"/>
              </w:rPr>
              <w:t xml:space="preserve">account for about 50% of </w:t>
            </w:r>
            <w:r w:rsidR="00D70467">
              <w:rPr>
                <w:rFonts w:ascii="Calibri" w:hAnsi="Calibri" w:cs="Calibri"/>
              </w:rPr>
              <w:t xml:space="preserve">their </w:t>
            </w:r>
            <w:r>
              <w:rPr>
                <w:rFonts w:ascii="Calibri" w:hAnsi="Calibri" w:cs="Calibri"/>
              </w:rPr>
              <w:t>primary care spend.</w:t>
            </w:r>
          </w:p>
        </w:tc>
      </w:tr>
      <w:tr w:rsidR="007E5B16" w14:paraId="36478A3A" w14:textId="77777777" w:rsidTr="00024201">
        <w:tc>
          <w:tcPr>
            <w:tcW w:w="3510" w:type="dxa"/>
            <w:tcBorders>
              <w:bottom w:val="single" w:sz="4" w:space="0" w:color="auto"/>
              <w:right w:val="single" w:sz="6" w:space="0" w:color="auto"/>
            </w:tcBorders>
          </w:tcPr>
          <w:p w14:paraId="46037F15" w14:textId="77777777" w:rsidR="007E5B16" w:rsidRDefault="007E5B16" w:rsidP="00EE1DDE">
            <w:pPr>
              <w:pStyle w:val="ListParagraph"/>
              <w:numPr>
                <w:ilvl w:val="0"/>
                <w:numId w:val="14"/>
              </w:numPr>
              <w:ind w:left="390"/>
              <w:rPr>
                <w:rFonts w:ascii="Calibri" w:hAnsi="Calibri" w:cs="Calibri"/>
                <w:b/>
              </w:rPr>
            </w:pPr>
            <w:r w:rsidRPr="007E5B16">
              <w:rPr>
                <w:rFonts w:ascii="Calibri" w:hAnsi="Calibri" w:cs="Calibri"/>
                <w:b/>
              </w:rPr>
              <w:lastRenderedPageBreak/>
              <w:t>Summary of Claims Analysis to Date</w:t>
            </w:r>
          </w:p>
          <w:p w14:paraId="0F2F2EFC" w14:textId="77777777" w:rsidR="008646BE" w:rsidRPr="008646BE" w:rsidRDefault="008646BE" w:rsidP="00D70467">
            <w:pPr>
              <w:pStyle w:val="ListParagraph"/>
              <w:ind w:left="390"/>
              <w:rPr>
                <w:rFonts w:ascii="Calibri" w:hAnsi="Calibri" w:cs="Calibri"/>
              </w:rPr>
            </w:pPr>
            <w:r w:rsidRPr="008646BE">
              <w:rPr>
                <w:rFonts w:ascii="Calibri" w:hAnsi="Calibri" w:cs="Calibri"/>
              </w:rPr>
              <w:t>(Kim Fox)</w:t>
            </w:r>
          </w:p>
        </w:tc>
        <w:tc>
          <w:tcPr>
            <w:tcW w:w="10890" w:type="dxa"/>
            <w:tcBorders>
              <w:left w:val="single" w:sz="6" w:space="0" w:color="auto"/>
              <w:bottom w:val="single" w:sz="4" w:space="0" w:color="auto"/>
            </w:tcBorders>
          </w:tcPr>
          <w:p w14:paraId="202A31AC" w14:textId="7D105A76" w:rsidR="0072075E" w:rsidRDefault="0072075E" w:rsidP="00085438">
            <w:pPr>
              <w:spacing w:before="0" w:after="0"/>
              <w:rPr>
                <w:rFonts w:ascii="Calibri" w:hAnsi="Calibri" w:cs="Calibri"/>
              </w:rPr>
            </w:pPr>
            <w:r>
              <w:rPr>
                <w:rFonts w:ascii="Calibri" w:hAnsi="Calibri" w:cs="Calibri"/>
              </w:rPr>
              <w:t xml:space="preserve">From these sources, USM and consultant, Judy Loren conducted </w:t>
            </w:r>
            <w:r w:rsidR="0038303A">
              <w:rPr>
                <w:rFonts w:ascii="Calibri" w:hAnsi="Calibri" w:cs="Calibri"/>
              </w:rPr>
              <w:t>a preliminary analysis</w:t>
            </w:r>
            <w:r>
              <w:rPr>
                <w:rFonts w:ascii="Calibri" w:hAnsi="Calibri" w:cs="Calibri"/>
              </w:rPr>
              <w:t xml:space="preserve"> of 2017 APCD data using the </w:t>
            </w:r>
            <w:r w:rsidR="00A26FFA">
              <w:rPr>
                <w:rFonts w:ascii="Calibri" w:hAnsi="Calibri" w:cs="Calibri"/>
              </w:rPr>
              <w:t xml:space="preserve">definition </w:t>
            </w:r>
            <w:r>
              <w:rPr>
                <w:rFonts w:ascii="Calibri" w:hAnsi="Calibri" w:cs="Calibri"/>
              </w:rPr>
              <w:t xml:space="preserve">of </w:t>
            </w:r>
            <w:r w:rsidR="00A26FFA">
              <w:rPr>
                <w:rFonts w:ascii="Calibri" w:hAnsi="Calibri" w:cs="Calibri"/>
              </w:rPr>
              <w:t xml:space="preserve">primary care provider types </w:t>
            </w:r>
            <w:r w:rsidR="0037765F">
              <w:rPr>
                <w:rFonts w:ascii="Calibri" w:hAnsi="Calibri" w:cs="Calibri"/>
              </w:rPr>
              <w:t xml:space="preserve">that provide specific </w:t>
            </w:r>
            <w:r>
              <w:rPr>
                <w:rFonts w:ascii="Calibri" w:hAnsi="Calibri" w:cs="Calibri"/>
              </w:rPr>
              <w:t>primary care services</w:t>
            </w:r>
            <w:r w:rsidR="0038303A">
              <w:rPr>
                <w:rFonts w:ascii="Calibri" w:hAnsi="Calibri" w:cs="Calibri"/>
              </w:rPr>
              <w:t>.</w:t>
            </w:r>
            <w:r>
              <w:rPr>
                <w:rFonts w:ascii="Calibri" w:hAnsi="Calibri" w:cs="Calibri"/>
              </w:rPr>
              <w:t xml:space="preserve"> </w:t>
            </w:r>
            <w:r w:rsidR="006A17E2">
              <w:rPr>
                <w:rFonts w:ascii="Calibri" w:hAnsi="Calibri" w:cs="Calibri"/>
              </w:rPr>
              <w:t>Findings are presented by commercial insurers, Medicaid and Medicare. Per one adv</w:t>
            </w:r>
            <w:r w:rsidR="00ED2199">
              <w:rPr>
                <w:rFonts w:ascii="Calibri" w:hAnsi="Calibri" w:cs="Calibri"/>
              </w:rPr>
              <w:t xml:space="preserve">isory group member question, it </w:t>
            </w:r>
            <w:r w:rsidR="00DD0772">
              <w:rPr>
                <w:rFonts w:ascii="Calibri" w:hAnsi="Calibri" w:cs="Calibri"/>
              </w:rPr>
              <w:t xml:space="preserve">was clarified that Medicare Advantage is included in the analysis, but Medigap </w:t>
            </w:r>
            <w:r w:rsidR="006A17E2">
              <w:rPr>
                <w:rFonts w:ascii="Calibri" w:hAnsi="Calibri" w:cs="Calibri"/>
              </w:rPr>
              <w:t xml:space="preserve">supplemental plans were </w:t>
            </w:r>
            <w:r w:rsidR="00DD0772">
              <w:rPr>
                <w:rFonts w:ascii="Calibri" w:hAnsi="Calibri" w:cs="Calibri"/>
              </w:rPr>
              <w:t xml:space="preserve">excluded. </w:t>
            </w:r>
          </w:p>
          <w:p w14:paraId="0DC048D6" w14:textId="4D0CBCB5" w:rsidR="00E809DD" w:rsidRDefault="006C4C8D" w:rsidP="00085438">
            <w:pPr>
              <w:spacing w:before="0" w:after="0"/>
              <w:rPr>
                <w:rFonts w:ascii="Calibri" w:hAnsi="Calibri" w:cs="Calibri"/>
              </w:rPr>
            </w:pPr>
            <w:r>
              <w:rPr>
                <w:rFonts w:ascii="Calibri" w:hAnsi="Calibri" w:cs="Calibri"/>
              </w:rPr>
              <w:t>Preliminary r</w:t>
            </w:r>
            <w:r w:rsidR="0072075E">
              <w:rPr>
                <w:rFonts w:ascii="Calibri" w:hAnsi="Calibri" w:cs="Calibri"/>
              </w:rPr>
              <w:t xml:space="preserve">esults are shown </w:t>
            </w:r>
            <w:r>
              <w:rPr>
                <w:rFonts w:ascii="Calibri" w:hAnsi="Calibri" w:cs="Calibri"/>
              </w:rPr>
              <w:t xml:space="preserve">in the slide deck separately </w:t>
            </w:r>
            <w:r w:rsidR="0037765F">
              <w:rPr>
                <w:rFonts w:ascii="Calibri" w:hAnsi="Calibri" w:cs="Calibri"/>
              </w:rPr>
              <w:t xml:space="preserve">for </w:t>
            </w:r>
            <w:r w:rsidR="0072075E">
              <w:rPr>
                <w:rFonts w:ascii="Calibri" w:hAnsi="Calibri" w:cs="Calibri"/>
              </w:rPr>
              <w:t xml:space="preserve">when primary care provider types </w:t>
            </w:r>
            <w:r w:rsidR="00D70467">
              <w:rPr>
                <w:rFonts w:ascii="Calibri" w:hAnsi="Calibri" w:cs="Calibri"/>
              </w:rPr>
              <w:t xml:space="preserve">are limited to those </w:t>
            </w:r>
            <w:r w:rsidR="0072075E">
              <w:rPr>
                <w:rFonts w:ascii="Calibri" w:hAnsi="Calibri" w:cs="Calibri"/>
              </w:rPr>
              <w:t xml:space="preserve">identified by all Maine insurers and when OB/GYNs and Psychiatrists providing primary care services are </w:t>
            </w:r>
            <w:r w:rsidR="00E809DD">
              <w:rPr>
                <w:rFonts w:ascii="Calibri" w:hAnsi="Calibri" w:cs="Calibri"/>
              </w:rPr>
              <w:t xml:space="preserve">also </w:t>
            </w:r>
            <w:r w:rsidR="0072075E">
              <w:rPr>
                <w:rFonts w:ascii="Calibri" w:hAnsi="Calibri" w:cs="Calibri"/>
              </w:rPr>
              <w:t xml:space="preserve">included. </w:t>
            </w:r>
          </w:p>
          <w:p w14:paraId="24B6F9CF" w14:textId="77777777" w:rsidR="006C4C8D" w:rsidRDefault="006C4C8D" w:rsidP="00085438">
            <w:pPr>
              <w:spacing w:before="0" w:after="0"/>
              <w:rPr>
                <w:rFonts w:ascii="Calibri" w:hAnsi="Calibri" w:cs="Calibri"/>
              </w:rPr>
            </w:pPr>
            <w:r>
              <w:rPr>
                <w:rFonts w:ascii="Calibri" w:hAnsi="Calibri" w:cs="Calibri"/>
              </w:rPr>
              <w:lastRenderedPageBreak/>
              <w:t xml:space="preserve">Results are based on the </w:t>
            </w:r>
            <w:r w:rsidR="0037765F">
              <w:rPr>
                <w:rFonts w:ascii="Calibri" w:hAnsi="Calibri" w:cs="Calibri"/>
              </w:rPr>
              <w:t xml:space="preserve">intersection of </w:t>
            </w:r>
            <w:r>
              <w:rPr>
                <w:rFonts w:ascii="Calibri" w:hAnsi="Calibri" w:cs="Calibri"/>
              </w:rPr>
              <w:t xml:space="preserve">specific primary care provider types that </w:t>
            </w:r>
            <w:r w:rsidR="0037765F">
              <w:rPr>
                <w:rFonts w:ascii="Calibri" w:hAnsi="Calibri" w:cs="Calibri"/>
              </w:rPr>
              <w:t xml:space="preserve">provided </w:t>
            </w:r>
            <w:r>
              <w:rPr>
                <w:rFonts w:ascii="Calibri" w:hAnsi="Calibri" w:cs="Calibri"/>
              </w:rPr>
              <w:t xml:space="preserve">specific services (e.g. HCPCS/CPT codes) defined as primary care. </w:t>
            </w:r>
          </w:p>
          <w:p w14:paraId="1A9A394B" w14:textId="77777777" w:rsidR="006C4C8D" w:rsidRDefault="006C4C8D" w:rsidP="00085438">
            <w:pPr>
              <w:spacing w:before="0" w:after="0"/>
              <w:rPr>
                <w:rFonts w:ascii="Calibri" w:hAnsi="Calibri" w:cs="Calibri"/>
              </w:rPr>
            </w:pPr>
          </w:p>
          <w:p w14:paraId="2994A37A" w14:textId="77777777" w:rsidR="00085438" w:rsidRDefault="006C4C8D" w:rsidP="00085438">
            <w:pPr>
              <w:spacing w:before="0" w:after="0"/>
              <w:rPr>
                <w:rFonts w:ascii="Calibri" w:hAnsi="Calibri" w:cs="Calibri"/>
              </w:rPr>
            </w:pPr>
            <w:r>
              <w:rPr>
                <w:rFonts w:ascii="Calibri" w:hAnsi="Calibri" w:cs="Calibri"/>
              </w:rPr>
              <w:t xml:space="preserve">Based on these definitions, the preliminary analyses </w:t>
            </w:r>
            <w:r w:rsidR="00085438">
              <w:rPr>
                <w:rFonts w:ascii="Calibri" w:hAnsi="Calibri" w:cs="Calibri"/>
              </w:rPr>
              <w:t>show</w:t>
            </w:r>
            <w:r>
              <w:rPr>
                <w:rFonts w:ascii="Calibri" w:hAnsi="Calibri" w:cs="Calibri"/>
              </w:rPr>
              <w:t>s</w:t>
            </w:r>
            <w:r w:rsidR="00085438">
              <w:rPr>
                <w:rFonts w:ascii="Calibri" w:hAnsi="Calibri" w:cs="Calibri"/>
              </w:rPr>
              <w:t xml:space="preserve"> a primary care spending estimate of 5.2% on average</w:t>
            </w:r>
            <w:r>
              <w:rPr>
                <w:rFonts w:ascii="Calibri" w:hAnsi="Calibri" w:cs="Calibri"/>
              </w:rPr>
              <w:t xml:space="preserve"> overall when OB/GYN and psychiatry are excluded, and a slightly higher percentage when primary care services billed by </w:t>
            </w:r>
            <w:r w:rsidR="00085438">
              <w:rPr>
                <w:rFonts w:ascii="Calibri" w:hAnsi="Calibri" w:cs="Calibri"/>
              </w:rPr>
              <w:t>OB/GYN</w:t>
            </w:r>
            <w:r>
              <w:rPr>
                <w:rFonts w:ascii="Calibri" w:hAnsi="Calibri" w:cs="Calibri"/>
              </w:rPr>
              <w:t xml:space="preserve"> and Psychiatry are included. </w:t>
            </w:r>
          </w:p>
          <w:p w14:paraId="46503FC2" w14:textId="77777777" w:rsidR="006C4C8D" w:rsidRDefault="006C4C8D" w:rsidP="00085438">
            <w:pPr>
              <w:spacing w:before="0" w:after="0"/>
              <w:rPr>
                <w:rFonts w:ascii="Calibri" w:hAnsi="Calibri" w:cs="Calibri"/>
              </w:rPr>
            </w:pPr>
          </w:p>
          <w:p w14:paraId="64C009DF" w14:textId="2505D8F7" w:rsidR="00BF5395" w:rsidRPr="00EC55E2" w:rsidRDefault="006C4C8D" w:rsidP="00EC55E2">
            <w:pPr>
              <w:spacing w:before="0" w:after="0"/>
              <w:ind w:left="0"/>
              <w:rPr>
                <w:rFonts w:ascii="Calibri" w:hAnsi="Calibri" w:cs="Calibri"/>
              </w:rPr>
            </w:pPr>
            <w:r w:rsidRPr="00667DD0">
              <w:rPr>
                <w:rFonts w:ascii="Calibri" w:hAnsi="Calibri" w:cs="Calibri"/>
              </w:rPr>
              <w:t xml:space="preserve">The </w:t>
            </w:r>
            <w:r w:rsidR="00667DD0">
              <w:rPr>
                <w:rFonts w:ascii="Calibri" w:hAnsi="Calibri" w:cs="Calibri"/>
              </w:rPr>
              <w:t xml:space="preserve">presentation slides also </w:t>
            </w:r>
            <w:r w:rsidRPr="00667DD0">
              <w:rPr>
                <w:rFonts w:ascii="Calibri" w:hAnsi="Calibri" w:cs="Calibri"/>
              </w:rPr>
              <w:t xml:space="preserve">show </w:t>
            </w:r>
            <w:r w:rsidR="00667DD0">
              <w:rPr>
                <w:rFonts w:ascii="Calibri" w:hAnsi="Calibri" w:cs="Calibri"/>
              </w:rPr>
              <w:t xml:space="preserve">other </w:t>
            </w:r>
            <w:r w:rsidRPr="00667DD0">
              <w:rPr>
                <w:rFonts w:ascii="Calibri" w:hAnsi="Calibri" w:cs="Calibri"/>
              </w:rPr>
              <w:t>services provided by primary care provider</w:t>
            </w:r>
            <w:r w:rsidR="00667DD0">
              <w:rPr>
                <w:rFonts w:ascii="Calibri" w:hAnsi="Calibri" w:cs="Calibri"/>
              </w:rPr>
              <w:t>s</w:t>
            </w:r>
            <w:r w:rsidRPr="00667DD0">
              <w:rPr>
                <w:rFonts w:ascii="Calibri" w:hAnsi="Calibri" w:cs="Calibri"/>
              </w:rPr>
              <w:t xml:space="preserve"> that are not included in th</w:t>
            </w:r>
            <w:r w:rsidR="00667DD0" w:rsidRPr="00667DD0">
              <w:rPr>
                <w:rFonts w:ascii="Calibri" w:hAnsi="Calibri" w:cs="Calibri"/>
              </w:rPr>
              <w:t xml:space="preserve">e specific primary care service list </w:t>
            </w:r>
            <w:r w:rsidR="00667DD0">
              <w:rPr>
                <w:rFonts w:ascii="Calibri" w:hAnsi="Calibri" w:cs="Calibri"/>
              </w:rPr>
              <w:t xml:space="preserve">used for this analyses </w:t>
            </w:r>
            <w:r w:rsidR="009B7308">
              <w:rPr>
                <w:rFonts w:ascii="Calibri" w:hAnsi="Calibri" w:cs="Calibri"/>
              </w:rPr>
              <w:t xml:space="preserve">by payer </w:t>
            </w:r>
            <w:r w:rsidR="00667DD0">
              <w:rPr>
                <w:rFonts w:ascii="Calibri" w:hAnsi="Calibri" w:cs="Calibri"/>
              </w:rPr>
              <w:t xml:space="preserve">and the associated </w:t>
            </w:r>
            <w:r w:rsidR="00667DD0" w:rsidRPr="00667DD0">
              <w:rPr>
                <w:rFonts w:ascii="Calibri" w:hAnsi="Calibri" w:cs="Calibri"/>
              </w:rPr>
              <w:t>percentage of total spend. The analytic team asked for input from the Advisory group on whether these services should/should not be included</w:t>
            </w:r>
            <w:r w:rsidR="00EC55E2">
              <w:rPr>
                <w:rFonts w:ascii="Calibri" w:hAnsi="Calibri" w:cs="Calibri"/>
              </w:rPr>
              <w:t xml:space="preserve">. </w:t>
            </w:r>
            <w:r w:rsidR="00EC55E2" w:rsidRPr="00EC55E2">
              <w:rPr>
                <w:rFonts w:ascii="Calibri" w:hAnsi="Calibri" w:cs="Calibri"/>
                <w:i/>
              </w:rPr>
              <w:t>The table below summaries the issues/questions and how they will be addressed.</w:t>
            </w:r>
            <w:r w:rsidR="00EC55E2">
              <w:rPr>
                <w:rFonts w:ascii="Calibri" w:hAnsi="Calibri" w:cs="Calibri"/>
              </w:rPr>
              <w:t xml:space="preserve"> </w:t>
            </w:r>
          </w:p>
        </w:tc>
      </w:tr>
      <w:tr w:rsidR="007E5B16" w14:paraId="3070CE06" w14:textId="77777777" w:rsidTr="00024201">
        <w:tc>
          <w:tcPr>
            <w:tcW w:w="3510" w:type="dxa"/>
            <w:tcBorders>
              <w:top w:val="single" w:sz="4" w:space="0" w:color="auto"/>
              <w:bottom w:val="double" w:sz="4" w:space="0" w:color="auto"/>
              <w:right w:val="single" w:sz="6" w:space="0" w:color="auto"/>
            </w:tcBorders>
          </w:tcPr>
          <w:p w14:paraId="718EA138" w14:textId="77777777" w:rsidR="008646BE" w:rsidRPr="008646BE" w:rsidRDefault="007E5B16" w:rsidP="007E5B16">
            <w:pPr>
              <w:ind w:left="0"/>
              <w:rPr>
                <w:rFonts w:ascii="Calibri" w:hAnsi="Calibri" w:cs="Calibri"/>
                <w:b/>
                <w:color w:val="0070C0"/>
              </w:rPr>
            </w:pPr>
            <w:r w:rsidRPr="007E5B16">
              <w:rPr>
                <w:rFonts w:ascii="Calibri" w:hAnsi="Calibri" w:cs="Calibri"/>
                <w:b/>
                <w:color w:val="0070C0"/>
              </w:rPr>
              <w:lastRenderedPageBreak/>
              <w:t>Next Steps and Timeline</w:t>
            </w:r>
            <w:r w:rsidR="008646BE">
              <w:rPr>
                <w:rFonts w:ascii="Calibri" w:hAnsi="Calibri" w:cs="Calibri"/>
                <w:b/>
                <w:color w:val="0070C0"/>
              </w:rPr>
              <w:t xml:space="preserve"> </w:t>
            </w:r>
          </w:p>
        </w:tc>
        <w:tc>
          <w:tcPr>
            <w:tcW w:w="10890" w:type="dxa"/>
            <w:tcBorders>
              <w:top w:val="single" w:sz="4" w:space="0" w:color="auto"/>
              <w:left w:val="single" w:sz="6" w:space="0" w:color="auto"/>
              <w:bottom w:val="double" w:sz="4" w:space="0" w:color="auto"/>
            </w:tcBorders>
          </w:tcPr>
          <w:p w14:paraId="07CBCC7F" w14:textId="77777777" w:rsidR="007E5B16" w:rsidRDefault="007E5B16" w:rsidP="002460C6">
            <w:pPr>
              <w:ind w:left="0"/>
              <w:rPr>
                <w:rFonts w:ascii="Calibri" w:hAnsi="Calibri" w:cs="Calibri"/>
              </w:rPr>
            </w:pPr>
          </w:p>
        </w:tc>
      </w:tr>
      <w:tr w:rsidR="00951F5F" w14:paraId="1DCB4CE7" w14:textId="77777777" w:rsidTr="00024201">
        <w:tc>
          <w:tcPr>
            <w:tcW w:w="3510" w:type="dxa"/>
            <w:tcBorders>
              <w:top w:val="double" w:sz="4" w:space="0" w:color="auto"/>
              <w:bottom w:val="nil"/>
              <w:right w:val="single" w:sz="6" w:space="0" w:color="auto"/>
            </w:tcBorders>
          </w:tcPr>
          <w:p w14:paraId="729C8442" w14:textId="77777777" w:rsidR="00951F5F" w:rsidRDefault="00951F5F" w:rsidP="002460C6">
            <w:pPr>
              <w:ind w:left="0"/>
              <w:rPr>
                <w:rFonts w:ascii="Calibri" w:hAnsi="Calibri" w:cs="Calibri"/>
              </w:rPr>
            </w:pPr>
          </w:p>
        </w:tc>
        <w:tc>
          <w:tcPr>
            <w:tcW w:w="10890" w:type="dxa"/>
            <w:tcBorders>
              <w:top w:val="double" w:sz="4" w:space="0" w:color="auto"/>
              <w:left w:val="single" w:sz="6" w:space="0" w:color="auto"/>
              <w:bottom w:val="nil"/>
            </w:tcBorders>
          </w:tcPr>
          <w:p w14:paraId="798ACE23" w14:textId="24980113" w:rsidR="00E132F9" w:rsidRDefault="00E132F9" w:rsidP="00E132F9">
            <w:pPr>
              <w:pStyle w:val="ListParagraph"/>
              <w:numPr>
                <w:ilvl w:val="0"/>
                <w:numId w:val="23"/>
              </w:numPr>
              <w:rPr>
                <w:rFonts w:ascii="Calibri" w:hAnsi="Calibri" w:cs="Calibri"/>
              </w:rPr>
            </w:pPr>
            <w:r>
              <w:rPr>
                <w:rFonts w:ascii="Calibri" w:hAnsi="Calibri" w:cs="Calibri"/>
              </w:rPr>
              <w:t xml:space="preserve">Minutes from today’s meeting and </w:t>
            </w:r>
            <w:r w:rsidR="00BF5395">
              <w:rPr>
                <w:rFonts w:ascii="Calibri" w:hAnsi="Calibri" w:cs="Calibri"/>
              </w:rPr>
              <w:t>questions</w:t>
            </w:r>
            <w:r>
              <w:rPr>
                <w:rFonts w:ascii="Calibri" w:hAnsi="Calibri" w:cs="Calibri"/>
              </w:rPr>
              <w:t xml:space="preserve"> for the Advisory Committee to weigh in on will be shared next week.</w:t>
            </w:r>
            <w:r w:rsidR="00EC55E2">
              <w:rPr>
                <w:rFonts w:ascii="Calibri" w:hAnsi="Calibri" w:cs="Calibri"/>
              </w:rPr>
              <w:t xml:space="preserve"> </w:t>
            </w:r>
          </w:p>
          <w:p w14:paraId="3CEBB197" w14:textId="77777777" w:rsidR="00951F5F" w:rsidRDefault="00E132F9" w:rsidP="00E132F9">
            <w:pPr>
              <w:pStyle w:val="ListParagraph"/>
              <w:numPr>
                <w:ilvl w:val="0"/>
                <w:numId w:val="23"/>
              </w:numPr>
              <w:rPr>
                <w:rFonts w:ascii="Calibri" w:hAnsi="Calibri" w:cs="Calibri"/>
              </w:rPr>
            </w:pPr>
            <w:r>
              <w:rPr>
                <w:rFonts w:ascii="Calibri" w:hAnsi="Calibri" w:cs="Calibri"/>
              </w:rPr>
              <w:t xml:space="preserve">The Advisory Committee should provide </w:t>
            </w:r>
            <w:r w:rsidR="00FE776D">
              <w:rPr>
                <w:rFonts w:ascii="Calibri" w:hAnsi="Calibri" w:cs="Calibri"/>
              </w:rPr>
              <w:t xml:space="preserve">any additional </w:t>
            </w:r>
            <w:r w:rsidR="00B25BAC" w:rsidRPr="00E132F9">
              <w:rPr>
                <w:rFonts w:ascii="Calibri" w:hAnsi="Calibri" w:cs="Calibri"/>
              </w:rPr>
              <w:t>feedback</w:t>
            </w:r>
            <w:r>
              <w:rPr>
                <w:rFonts w:ascii="Calibri" w:hAnsi="Calibri" w:cs="Calibri"/>
              </w:rPr>
              <w:t xml:space="preserve"> to MQF by November 1</w:t>
            </w:r>
            <w:r w:rsidR="00B25BAC" w:rsidRPr="00E132F9">
              <w:rPr>
                <w:rFonts w:ascii="Calibri" w:hAnsi="Calibri" w:cs="Calibri"/>
              </w:rPr>
              <w:t xml:space="preserve">. </w:t>
            </w:r>
          </w:p>
          <w:p w14:paraId="3908B317" w14:textId="354534DB" w:rsidR="007218E7" w:rsidRPr="0037002F" w:rsidRDefault="007218E7" w:rsidP="0038303A">
            <w:pPr>
              <w:pStyle w:val="ListParagraph"/>
              <w:rPr>
                <w:rFonts w:ascii="Calibri" w:hAnsi="Calibri" w:cs="Calibri"/>
              </w:rPr>
            </w:pPr>
          </w:p>
        </w:tc>
      </w:tr>
    </w:tbl>
    <w:p w14:paraId="0FA33CB1" w14:textId="7966EF58" w:rsidR="007C3A63" w:rsidRPr="007C3A63" w:rsidRDefault="007C3A63" w:rsidP="007C3A63">
      <w:pPr>
        <w:ind w:left="0"/>
        <w:rPr>
          <w:rFonts w:ascii="Calibri" w:hAnsi="Calibri" w:cs="Calibri"/>
          <w:b/>
          <w:caps/>
          <w:color w:val="0070C0"/>
          <w:sz w:val="28"/>
          <w:szCs w:val="28"/>
        </w:rPr>
        <w:sectPr w:rsidR="007C3A63" w:rsidRPr="007C3A63" w:rsidSect="00024201">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288" w:footer="288" w:gutter="0"/>
          <w:cols w:space="720"/>
          <w:titlePg/>
          <w:docGrid w:linePitch="360"/>
        </w:sectPr>
      </w:pPr>
    </w:p>
    <w:p w14:paraId="7AB55251" w14:textId="77777777" w:rsidR="00024201" w:rsidRDefault="00024201">
      <w:r>
        <w:rPr>
          <w:b/>
        </w:rPr>
        <w:br w:type="page"/>
      </w:r>
    </w:p>
    <w:tbl>
      <w:tblPr>
        <w:tblStyle w:val="Meetingminutes"/>
        <w:tblW w:w="14328" w:type="dxa"/>
        <w:tblInd w:w="72" w:type="dxa"/>
        <w:tblBorders>
          <w:insideH w:val="single" w:sz="4" w:space="0" w:color="auto"/>
        </w:tblBorders>
        <w:tblLook w:val="04A0" w:firstRow="1" w:lastRow="0" w:firstColumn="1" w:lastColumn="0" w:noHBand="0" w:noVBand="1"/>
      </w:tblPr>
      <w:tblGrid>
        <w:gridCol w:w="5778"/>
        <w:gridCol w:w="4410"/>
        <w:gridCol w:w="4140"/>
      </w:tblGrid>
      <w:tr w:rsidR="007C3A63" w14:paraId="4FE60DAF" w14:textId="1436D708" w:rsidTr="00823674">
        <w:trPr>
          <w:cnfStyle w:val="100000000000" w:firstRow="1" w:lastRow="0" w:firstColumn="0" w:lastColumn="0" w:oddVBand="0" w:evenVBand="0" w:oddHBand="0" w:evenHBand="0" w:firstRowFirstColumn="0" w:firstRowLastColumn="0" w:lastRowFirstColumn="0" w:lastRowLastColumn="0"/>
          <w:trHeight w:val="20"/>
        </w:trPr>
        <w:tc>
          <w:tcPr>
            <w:tcW w:w="14328" w:type="dxa"/>
            <w:gridSpan w:val="3"/>
            <w:tcBorders>
              <w:bottom w:val="triple" w:sz="4" w:space="0" w:color="auto"/>
            </w:tcBorders>
          </w:tcPr>
          <w:p w14:paraId="16E4085A" w14:textId="2C314F20" w:rsidR="007C3A63" w:rsidRPr="007C3A63" w:rsidRDefault="00823674" w:rsidP="00823674">
            <w:pPr>
              <w:rPr>
                <w:rFonts w:ascii="Calibri" w:hAnsi="Calibri" w:cs="Calibri"/>
                <w:color w:val="0070C0"/>
                <w:sz w:val="28"/>
                <w:szCs w:val="28"/>
              </w:rPr>
            </w:pPr>
            <w:r>
              <w:rPr>
                <w:rFonts w:ascii="Calibri" w:hAnsi="Calibri" w:cs="Calibri"/>
                <w:color w:val="0070C0"/>
                <w:sz w:val="28"/>
                <w:szCs w:val="28"/>
              </w:rPr>
              <w:lastRenderedPageBreak/>
              <w:t>SUMMARY OF ISSUES</w:t>
            </w:r>
            <w:r w:rsidR="0038303A">
              <w:rPr>
                <w:rFonts w:ascii="Calibri" w:hAnsi="Calibri" w:cs="Calibri"/>
                <w:color w:val="0070C0"/>
                <w:sz w:val="28"/>
                <w:szCs w:val="28"/>
              </w:rPr>
              <w:t xml:space="preserve"> RAISED</w:t>
            </w:r>
            <w:r w:rsidR="007C3A63" w:rsidRPr="007C3A63">
              <w:rPr>
                <w:rFonts w:ascii="Calibri" w:hAnsi="Calibri" w:cs="Calibri"/>
                <w:color w:val="0070C0"/>
                <w:sz w:val="28"/>
                <w:szCs w:val="28"/>
              </w:rPr>
              <w:t xml:space="preserve"> AND NEXT STEPS </w:t>
            </w:r>
          </w:p>
        </w:tc>
      </w:tr>
      <w:tr w:rsidR="007C3A63" w14:paraId="574652EA" w14:textId="77777777" w:rsidTr="00024201">
        <w:trPr>
          <w:trHeight w:val="20"/>
        </w:trPr>
        <w:tc>
          <w:tcPr>
            <w:tcW w:w="5778" w:type="dxa"/>
            <w:tcBorders>
              <w:top w:val="triple" w:sz="4" w:space="0" w:color="auto"/>
              <w:bottom w:val="double" w:sz="4" w:space="0" w:color="auto"/>
              <w:right w:val="single" w:sz="6" w:space="0" w:color="auto"/>
            </w:tcBorders>
          </w:tcPr>
          <w:p w14:paraId="16759478" w14:textId="2889EAAA" w:rsidR="007C3A63" w:rsidRPr="007C3A63" w:rsidRDefault="007C3A63" w:rsidP="007C3A63">
            <w:pPr>
              <w:jc w:val="center"/>
              <w:rPr>
                <w:rFonts w:ascii="Calibri" w:hAnsi="Calibri" w:cs="Calibri"/>
                <w:color w:val="0070C0"/>
              </w:rPr>
            </w:pPr>
            <w:r w:rsidRPr="007C3A63">
              <w:rPr>
                <w:rFonts w:ascii="Calibri" w:hAnsi="Calibri" w:cs="Calibri"/>
                <w:color w:val="0070C0"/>
              </w:rPr>
              <w:t>ISSUE</w:t>
            </w:r>
          </w:p>
        </w:tc>
        <w:tc>
          <w:tcPr>
            <w:tcW w:w="4410" w:type="dxa"/>
            <w:tcBorders>
              <w:top w:val="triple" w:sz="4" w:space="0" w:color="auto"/>
              <w:left w:val="single" w:sz="6" w:space="0" w:color="auto"/>
              <w:bottom w:val="double" w:sz="4" w:space="0" w:color="auto"/>
            </w:tcBorders>
          </w:tcPr>
          <w:p w14:paraId="37CD73D2" w14:textId="4DFC4543" w:rsidR="007C3A63" w:rsidRPr="007C3A63" w:rsidRDefault="007C3A63" w:rsidP="007C3A63">
            <w:pPr>
              <w:jc w:val="center"/>
              <w:rPr>
                <w:rFonts w:ascii="Calibri" w:hAnsi="Calibri" w:cs="Calibri"/>
                <w:caps/>
                <w:color w:val="0070C0"/>
              </w:rPr>
            </w:pPr>
            <w:r w:rsidRPr="007C3A63">
              <w:rPr>
                <w:rFonts w:ascii="Calibri" w:hAnsi="Calibri" w:cs="Calibri"/>
                <w:caps/>
                <w:color w:val="0070C0"/>
              </w:rPr>
              <w:t>Action to Address</w:t>
            </w:r>
          </w:p>
        </w:tc>
        <w:tc>
          <w:tcPr>
            <w:tcW w:w="4140" w:type="dxa"/>
            <w:tcBorders>
              <w:top w:val="triple" w:sz="4" w:space="0" w:color="auto"/>
              <w:left w:val="single" w:sz="6" w:space="0" w:color="auto"/>
              <w:bottom w:val="double" w:sz="4" w:space="0" w:color="auto"/>
            </w:tcBorders>
          </w:tcPr>
          <w:p w14:paraId="5FE109EB" w14:textId="61F9FC72" w:rsidR="007C3A63" w:rsidRPr="007C3A63" w:rsidRDefault="007C3A63" w:rsidP="007C3A63">
            <w:pPr>
              <w:jc w:val="center"/>
              <w:rPr>
                <w:rFonts w:ascii="Calibri" w:hAnsi="Calibri" w:cs="Calibri"/>
                <w:caps/>
                <w:color w:val="0070C0"/>
              </w:rPr>
            </w:pPr>
            <w:r w:rsidRPr="007C3A63">
              <w:rPr>
                <w:rFonts w:ascii="Calibri" w:hAnsi="Calibri" w:cs="Calibri"/>
                <w:caps/>
                <w:color w:val="0070C0"/>
              </w:rPr>
              <w:t>OUTCOMES/NEXT STEPS</w:t>
            </w:r>
          </w:p>
        </w:tc>
      </w:tr>
      <w:tr w:rsidR="00770CC3" w14:paraId="35336AA5" w14:textId="77777777" w:rsidTr="00024201">
        <w:tc>
          <w:tcPr>
            <w:tcW w:w="5778" w:type="dxa"/>
            <w:tcBorders>
              <w:top w:val="double" w:sz="4" w:space="0" w:color="auto"/>
              <w:bottom w:val="single" w:sz="4" w:space="0" w:color="auto"/>
              <w:right w:val="single" w:sz="6" w:space="0" w:color="auto"/>
            </w:tcBorders>
          </w:tcPr>
          <w:p w14:paraId="01047765" w14:textId="13B1A3CB" w:rsidR="00770CC3" w:rsidRPr="00823674" w:rsidRDefault="00770CC3" w:rsidP="00770CC3">
            <w:pPr>
              <w:spacing w:before="0" w:after="0"/>
              <w:ind w:left="0"/>
              <w:rPr>
                <w:rFonts w:ascii="Calibri" w:hAnsi="Calibri" w:cs="Calibri"/>
              </w:rPr>
            </w:pPr>
            <w:r w:rsidRPr="00823674">
              <w:rPr>
                <w:rFonts w:ascii="Calibri" w:hAnsi="Calibri" w:cs="Calibri"/>
                <w:b/>
              </w:rPr>
              <w:t>Provider types -</w:t>
            </w:r>
            <w:r w:rsidRPr="00823674">
              <w:rPr>
                <w:rFonts w:ascii="Calibri" w:hAnsi="Calibri" w:cs="Calibri"/>
              </w:rPr>
              <w:t xml:space="preserve"> Lisa Harvey McPherson and Jonathan Fanburg recommended that geriatricians and adolescent medicine be included in provider types. Judy Loren noted that both were included. Adolescent medicine does not have separate taxonomy codes but are included under</w:t>
            </w:r>
            <w:r>
              <w:rPr>
                <w:rFonts w:ascii="Calibri" w:hAnsi="Calibri" w:cs="Calibri"/>
              </w:rPr>
              <w:t xml:space="preserve"> </w:t>
            </w:r>
            <w:r w:rsidRPr="00823674">
              <w:rPr>
                <w:rFonts w:ascii="Calibri" w:hAnsi="Calibri" w:cs="Calibri"/>
              </w:rPr>
              <w:t>pediatrics</w:t>
            </w:r>
            <w:r>
              <w:rPr>
                <w:rFonts w:ascii="Calibri" w:hAnsi="Calibri" w:cs="Calibri"/>
              </w:rPr>
              <w:t>.</w:t>
            </w:r>
          </w:p>
        </w:tc>
        <w:tc>
          <w:tcPr>
            <w:tcW w:w="4410" w:type="dxa"/>
            <w:tcBorders>
              <w:top w:val="double" w:sz="4" w:space="0" w:color="auto"/>
              <w:left w:val="single" w:sz="6" w:space="0" w:color="auto"/>
              <w:bottom w:val="single" w:sz="4" w:space="0" w:color="auto"/>
            </w:tcBorders>
          </w:tcPr>
          <w:p w14:paraId="2364FC44" w14:textId="620A9566" w:rsidR="00770CC3" w:rsidRPr="00823674" w:rsidRDefault="00770CC3" w:rsidP="00770CC3">
            <w:pPr>
              <w:spacing w:before="0" w:after="0"/>
              <w:ind w:left="0"/>
              <w:rPr>
                <w:rFonts w:ascii="Calibri" w:hAnsi="Calibri" w:cs="Calibri"/>
                <w:b/>
              </w:rPr>
            </w:pPr>
            <w:r w:rsidRPr="0038303A">
              <w:rPr>
                <w:rFonts w:ascii="Calibri" w:hAnsi="Calibri" w:cs="Calibri"/>
              </w:rPr>
              <w:t>No additional action required</w:t>
            </w:r>
          </w:p>
        </w:tc>
        <w:tc>
          <w:tcPr>
            <w:tcW w:w="4140" w:type="dxa"/>
            <w:tcBorders>
              <w:top w:val="double" w:sz="4" w:space="0" w:color="auto"/>
              <w:left w:val="single" w:sz="6" w:space="0" w:color="auto"/>
              <w:bottom w:val="single" w:sz="4" w:space="0" w:color="auto"/>
            </w:tcBorders>
          </w:tcPr>
          <w:p w14:paraId="742E7460" w14:textId="19475CE6" w:rsidR="00770CC3" w:rsidRDefault="00770CC3" w:rsidP="00A70884">
            <w:pPr>
              <w:spacing w:before="0" w:after="0"/>
              <w:ind w:left="0"/>
              <w:rPr>
                <w:rFonts w:ascii="Calibri" w:hAnsi="Calibri" w:cs="Calibri"/>
              </w:rPr>
            </w:pPr>
            <w:r>
              <w:rPr>
                <w:rFonts w:ascii="Calibri" w:hAnsi="Calibri" w:cs="Calibri"/>
              </w:rPr>
              <w:t xml:space="preserve">Clarify </w:t>
            </w:r>
            <w:r w:rsidR="00A70884">
              <w:rPr>
                <w:rFonts w:ascii="Calibri" w:hAnsi="Calibri" w:cs="Calibri"/>
              </w:rPr>
              <w:t xml:space="preserve">adolescent medicine and geriatrics are </w:t>
            </w:r>
            <w:r>
              <w:rPr>
                <w:rFonts w:ascii="Calibri" w:hAnsi="Calibri" w:cs="Calibri"/>
              </w:rPr>
              <w:t>included in the final report.</w:t>
            </w:r>
          </w:p>
        </w:tc>
      </w:tr>
      <w:tr w:rsidR="00770CC3" w14:paraId="491E5368" w14:textId="77777777" w:rsidTr="00024201">
        <w:tc>
          <w:tcPr>
            <w:tcW w:w="5778" w:type="dxa"/>
            <w:tcBorders>
              <w:top w:val="single" w:sz="4" w:space="0" w:color="auto"/>
              <w:bottom w:val="single" w:sz="4" w:space="0" w:color="auto"/>
              <w:right w:val="single" w:sz="6" w:space="0" w:color="auto"/>
            </w:tcBorders>
          </w:tcPr>
          <w:p w14:paraId="3C373216" w14:textId="72F5C910" w:rsidR="00770CC3" w:rsidRPr="00823674" w:rsidRDefault="00770CC3" w:rsidP="00C6320D">
            <w:pPr>
              <w:spacing w:before="0"/>
              <w:ind w:left="0"/>
              <w:rPr>
                <w:rFonts w:ascii="Calibri" w:hAnsi="Calibri" w:cs="Calibri"/>
              </w:rPr>
            </w:pPr>
            <w:r w:rsidRPr="00823674">
              <w:rPr>
                <w:rFonts w:ascii="Calibri" w:hAnsi="Calibri" w:cs="Calibri"/>
                <w:b/>
              </w:rPr>
              <w:t>Inclusion of NPs/PAs working with specialists</w:t>
            </w:r>
            <w:r>
              <w:rPr>
                <w:rFonts w:ascii="Calibri" w:hAnsi="Calibri" w:cs="Calibri"/>
              </w:rPr>
              <w:t xml:space="preserve"> - </w:t>
            </w:r>
            <w:r w:rsidRPr="00823674">
              <w:rPr>
                <w:rFonts w:ascii="Calibri" w:hAnsi="Calibri" w:cs="Calibri"/>
              </w:rPr>
              <w:t xml:space="preserve">Lisa Letourneau asked whether the estimates included all NPs and PAs as some of them can be providing specialty services. </w:t>
            </w:r>
            <w:r w:rsidRPr="00956312">
              <w:rPr>
                <w:rFonts w:ascii="Calibri" w:hAnsi="Calibri" w:cs="Calibri"/>
              </w:rPr>
              <w:t xml:space="preserve">Judy Loren indicated a cross section was used to identify the claims with the taxonomy codes for the providers but PAs do not have a separate taxonomy code so some specialty could be included. </w:t>
            </w:r>
          </w:p>
        </w:tc>
        <w:tc>
          <w:tcPr>
            <w:tcW w:w="4410" w:type="dxa"/>
            <w:tcBorders>
              <w:top w:val="single" w:sz="4" w:space="0" w:color="auto"/>
              <w:left w:val="single" w:sz="6" w:space="0" w:color="auto"/>
              <w:bottom w:val="single" w:sz="4" w:space="0" w:color="auto"/>
            </w:tcBorders>
          </w:tcPr>
          <w:p w14:paraId="2C894977" w14:textId="50D36941" w:rsidR="00770CC3" w:rsidRPr="0038303A" w:rsidRDefault="00770CC3" w:rsidP="00770CC3">
            <w:pPr>
              <w:spacing w:before="0" w:after="0"/>
              <w:ind w:left="0"/>
              <w:rPr>
                <w:rFonts w:ascii="Calibri" w:hAnsi="Calibri" w:cs="Calibri"/>
              </w:rPr>
            </w:pPr>
            <w:r w:rsidRPr="0038303A">
              <w:rPr>
                <w:rFonts w:ascii="Calibri" w:hAnsi="Calibri" w:cs="Calibri"/>
              </w:rPr>
              <w:t>No additional action required</w:t>
            </w:r>
          </w:p>
        </w:tc>
        <w:tc>
          <w:tcPr>
            <w:tcW w:w="4140" w:type="dxa"/>
            <w:tcBorders>
              <w:top w:val="single" w:sz="4" w:space="0" w:color="auto"/>
              <w:left w:val="single" w:sz="6" w:space="0" w:color="auto"/>
              <w:bottom w:val="single" w:sz="4" w:space="0" w:color="auto"/>
            </w:tcBorders>
          </w:tcPr>
          <w:p w14:paraId="29D41B0C" w14:textId="776B524F" w:rsidR="00770CC3" w:rsidRDefault="00761258" w:rsidP="00855239">
            <w:pPr>
              <w:spacing w:before="0" w:after="0"/>
              <w:ind w:left="0"/>
              <w:rPr>
                <w:rFonts w:ascii="Calibri" w:hAnsi="Calibri" w:cs="Calibri"/>
              </w:rPr>
            </w:pPr>
            <w:r>
              <w:rPr>
                <w:rFonts w:ascii="Calibri" w:hAnsi="Calibri" w:cs="Calibri"/>
              </w:rPr>
              <w:t xml:space="preserve">Explain in the final report </w:t>
            </w:r>
            <w:r w:rsidR="00855239">
              <w:rPr>
                <w:rFonts w:ascii="Calibri" w:hAnsi="Calibri" w:cs="Calibri"/>
              </w:rPr>
              <w:t xml:space="preserve">that </w:t>
            </w:r>
            <w:r>
              <w:rPr>
                <w:rFonts w:ascii="Calibri" w:hAnsi="Calibri" w:cs="Calibri"/>
              </w:rPr>
              <w:t>some PAs working with specialists may be included</w:t>
            </w:r>
            <w:r w:rsidR="00855239">
              <w:rPr>
                <w:rFonts w:ascii="Calibri" w:hAnsi="Calibri" w:cs="Calibri"/>
              </w:rPr>
              <w:t xml:space="preserve"> in primary care spend estimate because they could not be separately identified in claims. </w:t>
            </w:r>
          </w:p>
        </w:tc>
      </w:tr>
      <w:tr w:rsidR="00770CC3" w14:paraId="36BEBCA2" w14:textId="77777777" w:rsidTr="00024201">
        <w:tc>
          <w:tcPr>
            <w:tcW w:w="5778" w:type="dxa"/>
            <w:tcBorders>
              <w:top w:val="single" w:sz="4" w:space="0" w:color="auto"/>
              <w:bottom w:val="single" w:sz="4" w:space="0" w:color="auto"/>
              <w:right w:val="single" w:sz="6" w:space="0" w:color="auto"/>
            </w:tcBorders>
          </w:tcPr>
          <w:p w14:paraId="7DBC6F56" w14:textId="0DE83C58" w:rsidR="00770CC3" w:rsidRPr="00823674" w:rsidRDefault="00770CC3" w:rsidP="00770CC3">
            <w:pPr>
              <w:spacing w:before="0" w:after="0"/>
              <w:ind w:left="0"/>
              <w:rPr>
                <w:rFonts w:ascii="Calibri" w:hAnsi="Calibri" w:cs="Calibri"/>
              </w:rPr>
            </w:pPr>
            <w:r w:rsidRPr="00823674">
              <w:rPr>
                <w:rFonts w:ascii="Calibri" w:hAnsi="Calibri" w:cs="Calibri"/>
                <w:b/>
              </w:rPr>
              <w:t>Psychiatry –</w:t>
            </w:r>
            <w:r w:rsidRPr="00823674">
              <w:rPr>
                <w:rFonts w:ascii="Calibri" w:hAnsi="Calibri" w:cs="Calibri"/>
              </w:rPr>
              <w:t xml:space="preserve"> Lisa L raised concerns that inclusion of psychiatry may overstate primary care spend as they use the office visit code for specialty visits, but should not be considered a primary care service.</w:t>
            </w:r>
          </w:p>
        </w:tc>
        <w:tc>
          <w:tcPr>
            <w:tcW w:w="4410" w:type="dxa"/>
            <w:tcBorders>
              <w:top w:val="single" w:sz="4" w:space="0" w:color="auto"/>
              <w:left w:val="single" w:sz="6" w:space="0" w:color="auto"/>
              <w:bottom w:val="single" w:sz="4" w:space="0" w:color="auto"/>
            </w:tcBorders>
          </w:tcPr>
          <w:p w14:paraId="41083D0A" w14:textId="1AC191E6" w:rsidR="00770CC3" w:rsidRPr="0038303A" w:rsidRDefault="00770CC3" w:rsidP="00770CC3">
            <w:pPr>
              <w:spacing w:before="0" w:after="0"/>
              <w:ind w:left="0"/>
              <w:rPr>
                <w:rFonts w:ascii="Calibri" w:hAnsi="Calibri" w:cs="Calibri"/>
              </w:rPr>
            </w:pPr>
            <w:r w:rsidRPr="0038303A">
              <w:rPr>
                <w:rFonts w:ascii="Calibri" w:hAnsi="Calibri" w:cs="Calibri"/>
              </w:rPr>
              <w:t>No additional action required</w:t>
            </w:r>
          </w:p>
        </w:tc>
        <w:tc>
          <w:tcPr>
            <w:tcW w:w="4140" w:type="dxa"/>
            <w:tcBorders>
              <w:top w:val="single" w:sz="4" w:space="0" w:color="auto"/>
              <w:left w:val="single" w:sz="6" w:space="0" w:color="auto"/>
              <w:bottom w:val="single" w:sz="4" w:space="0" w:color="auto"/>
            </w:tcBorders>
          </w:tcPr>
          <w:p w14:paraId="741A79C7" w14:textId="6B41870D" w:rsidR="00770CC3" w:rsidRDefault="00A70884" w:rsidP="00A70884">
            <w:pPr>
              <w:spacing w:before="0" w:after="0"/>
              <w:ind w:left="0"/>
              <w:rPr>
                <w:rFonts w:ascii="Calibri" w:hAnsi="Calibri" w:cs="Calibri"/>
              </w:rPr>
            </w:pPr>
            <w:r>
              <w:rPr>
                <w:rFonts w:ascii="Calibri" w:hAnsi="Calibri" w:cs="Calibri"/>
              </w:rPr>
              <w:t xml:space="preserve">Psychiatry </w:t>
            </w:r>
            <w:r w:rsidR="006A38C2">
              <w:rPr>
                <w:rFonts w:ascii="Calibri" w:hAnsi="Calibri" w:cs="Calibri"/>
              </w:rPr>
              <w:t xml:space="preserve">will be </w:t>
            </w:r>
            <w:r>
              <w:rPr>
                <w:rFonts w:ascii="Calibri" w:hAnsi="Calibri" w:cs="Calibri"/>
              </w:rPr>
              <w:t xml:space="preserve">excluded from </w:t>
            </w:r>
            <w:r w:rsidR="006A38C2">
              <w:rPr>
                <w:rFonts w:ascii="Calibri" w:hAnsi="Calibri" w:cs="Calibri"/>
              </w:rPr>
              <w:t xml:space="preserve">the </w:t>
            </w:r>
            <w:r>
              <w:rPr>
                <w:rFonts w:ascii="Calibri" w:hAnsi="Calibri" w:cs="Calibri"/>
              </w:rPr>
              <w:t>definition of primary care</w:t>
            </w:r>
            <w:r w:rsidR="007E1E85">
              <w:rPr>
                <w:rFonts w:ascii="Calibri" w:hAnsi="Calibri" w:cs="Calibri"/>
              </w:rPr>
              <w:t>.</w:t>
            </w:r>
            <w:r>
              <w:rPr>
                <w:rFonts w:ascii="Calibri" w:hAnsi="Calibri" w:cs="Calibri"/>
              </w:rPr>
              <w:t xml:space="preserve"> </w:t>
            </w:r>
          </w:p>
        </w:tc>
      </w:tr>
      <w:tr w:rsidR="00770CC3" w14:paraId="109A9CDF" w14:textId="77777777" w:rsidTr="00024201">
        <w:tc>
          <w:tcPr>
            <w:tcW w:w="5778" w:type="dxa"/>
            <w:tcBorders>
              <w:top w:val="single" w:sz="4" w:space="0" w:color="auto"/>
              <w:bottom w:val="single" w:sz="4" w:space="0" w:color="auto"/>
              <w:right w:val="single" w:sz="6" w:space="0" w:color="auto"/>
            </w:tcBorders>
          </w:tcPr>
          <w:p w14:paraId="281F9E55" w14:textId="77777777" w:rsidR="007E1E85" w:rsidRDefault="00770CC3" w:rsidP="00770CC3">
            <w:pPr>
              <w:spacing w:before="0" w:after="0"/>
              <w:ind w:left="0"/>
              <w:rPr>
                <w:rFonts w:ascii="Calibri" w:hAnsi="Calibri" w:cs="Calibri"/>
                <w:b/>
              </w:rPr>
            </w:pPr>
            <w:r>
              <w:rPr>
                <w:rFonts w:ascii="Calibri" w:hAnsi="Calibri" w:cs="Calibri"/>
                <w:b/>
              </w:rPr>
              <w:t>Family planning and other primary care services not in</w:t>
            </w:r>
            <w:r w:rsidRPr="00FD76BE">
              <w:rPr>
                <w:rFonts w:ascii="Calibri" w:hAnsi="Calibri" w:cs="Calibri"/>
                <w:b/>
              </w:rPr>
              <w:t xml:space="preserve"> current definition. </w:t>
            </w:r>
          </w:p>
          <w:p w14:paraId="0070FFBF" w14:textId="77777777" w:rsidR="007E1E85" w:rsidRDefault="007E1E85" w:rsidP="007E1E85">
            <w:pPr>
              <w:spacing w:before="0" w:after="0"/>
              <w:ind w:left="0"/>
              <w:rPr>
                <w:rFonts w:ascii="Calibri" w:hAnsi="Calibri" w:cs="Calibri"/>
              </w:rPr>
            </w:pPr>
            <w:r>
              <w:rPr>
                <w:rFonts w:ascii="Calibri" w:hAnsi="Calibri" w:cs="Calibri"/>
              </w:rPr>
              <w:t>Judy Loren clarified that family planning clinics providing primary care services are included in our definition.</w:t>
            </w:r>
          </w:p>
          <w:p w14:paraId="77D2B4E7" w14:textId="62FECDC3" w:rsidR="00770CC3" w:rsidRDefault="00770CC3" w:rsidP="00770CC3">
            <w:pPr>
              <w:spacing w:before="0" w:after="0"/>
              <w:ind w:left="0"/>
              <w:rPr>
                <w:rFonts w:ascii="Calibri" w:hAnsi="Calibri" w:cs="Calibri"/>
              </w:rPr>
            </w:pPr>
            <w:r w:rsidRPr="00FD76BE">
              <w:rPr>
                <w:rFonts w:ascii="Calibri" w:hAnsi="Calibri" w:cs="Calibri"/>
              </w:rPr>
              <w:t xml:space="preserve">Kim Fox indicated that CPT codes change frequently so limiting to a specific set of service codes can miss newer codes (e.g. for </w:t>
            </w:r>
            <w:r w:rsidR="00592973" w:rsidRPr="00FD76BE">
              <w:rPr>
                <w:rFonts w:ascii="Calibri" w:hAnsi="Calibri" w:cs="Calibri"/>
              </w:rPr>
              <w:t>this analyses insurer</w:t>
            </w:r>
            <w:r w:rsidRPr="00FD76BE">
              <w:rPr>
                <w:rFonts w:ascii="Calibri" w:hAnsi="Calibri" w:cs="Calibri"/>
              </w:rPr>
              <w:t xml:space="preserve"> identified many immunizations and injection codes not identified in other studies). </w:t>
            </w:r>
            <w:r w:rsidR="00592973">
              <w:rPr>
                <w:rFonts w:ascii="Calibri" w:hAnsi="Calibri" w:cs="Calibri"/>
              </w:rPr>
              <w:t>This analysis</w:t>
            </w:r>
            <w:r>
              <w:rPr>
                <w:rFonts w:ascii="Calibri" w:hAnsi="Calibri" w:cs="Calibri"/>
              </w:rPr>
              <w:t xml:space="preserve"> </w:t>
            </w:r>
            <w:r w:rsidRPr="00FD76BE">
              <w:rPr>
                <w:rFonts w:ascii="Calibri" w:hAnsi="Calibri" w:cs="Calibri"/>
              </w:rPr>
              <w:t>excluded other primary care services provided by primary care providers (e.g. those associated with an emergency department or inpatient setting</w:t>
            </w:r>
            <w:r>
              <w:rPr>
                <w:rFonts w:ascii="Calibri" w:hAnsi="Calibri" w:cs="Calibri"/>
              </w:rPr>
              <w:t>) but also excludes other services the Committee may want to count as primary care (e.g.</w:t>
            </w:r>
            <w:r w:rsidRPr="00FD76BE">
              <w:rPr>
                <w:rFonts w:ascii="Calibri" w:hAnsi="Calibri" w:cs="Calibri"/>
              </w:rPr>
              <w:t xml:space="preserve"> fami</w:t>
            </w:r>
            <w:r>
              <w:rPr>
                <w:rFonts w:ascii="Calibri" w:hAnsi="Calibri" w:cs="Calibri"/>
              </w:rPr>
              <w:t>ly planning, labs)</w:t>
            </w:r>
            <w:r w:rsidRPr="00FD76BE">
              <w:rPr>
                <w:rFonts w:ascii="Calibri" w:hAnsi="Calibri" w:cs="Calibri"/>
              </w:rPr>
              <w:t xml:space="preserve">. </w:t>
            </w:r>
            <w:r>
              <w:rPr>
                <w:rFonts w:ascii="Calibri" w:hAnsi="Calibri" w:cs="Calibri"/>
              </w:rPr>
              <w:t xml:space="preserve">Neil Korsen said it’s important to align the definition with what was done in other states. </w:t>
            </w:r>
          </w:p>
          <w:p w14:paraId="66BBB176" w14:textId="549D4DC7" w:rsidR="00770CC3" w:rsidRDefault="00770CC3" w:rsidP="00770CC3">
            <w:pPr>
              <w:pStyle w:val="ListParagraph"/>
              <w:numPr>
                <w:ilvl w:val="0"/>
                <w:numId w:val="26"/>
              </w:numPr>
              <w:spacing w:before="0" w:after="0"/>
              <w:rPr>
                <w:rFonts w:ascii="Calibri" w:hAnsi="Calibri" w:cs="Calibri"/>
              </w:rPr>
            </w:pPr>
            <w:r w:rsidRPr="005B3F8F">
              <w:rPr>
                <w:rFonts w:ascii="Calibri" w:hAnsi="Calibri" w:cs="Calibri"/>
              </w:rPr>
              <w:t xml:space="preserve">Should family planning services (procedure codes for IUDs) be included? </w:t>
            </w:r>
          </w:p>
          <w:p w14:paraId="3C656143" w14:textId="6EF0FAD3" w:rsidR="00770CC3" w:rsidRPr="005B3F8F" w:rsidRDefault="00770CC3" w:rsidP="00770CC3">
            <w:pPr>
              <w:pStyle w:val="ListParagraph"/>
              <w:numPr>
                <w:ilvl w:val="0"/>
                <w:numId w:val="26"/>
              </w:numPr>
              <w:spacing w:before="0" w:after="0"/>
              <w:rPr>
                <w:rFonts w:ascii="Calibri" w:hAnsi="Calibri" w:cs="Calibri"/>
              </w:rPr>
            </w:pPr>
            <w:r w:rsidRPr="005B3F8F">
              <w:rPr>
                <w:rFonts w:ascii="Calibri" w:hAnsi="Calibri" w:cs="Calibri"/>
              </w:rPr>
              <w:lastRenderedPageBreak/>
              <w:t xml:space="preserve">Should labs be included? </w:t>
            </w:r>
          </w:p>
        </w:tc>
        <w:tc>
          <w:tcPr>
            <w:tcW w:w="4410" w:type="dxa"/>
            <w:tcBorders>
              <w:top w:val="single" w:sz="4" w:space="0" w:color="auto"/>
              <w:left w:val="single" w:sz="6" w:space="0" w:color="auto"/>
              <w:bottom w:val="single" w:sz="4" w:space="0" w:color="auto"/>
            </w:tcBorders>
          </w:tcPr>
          <w:p w14:paraId="16E031DA" w14:textId="5E0D22D2" w:rsidR="00881761" w:rsidRDefault="00881761" w:rsidP="00770CC3">
            <w:pPr>
              <w:spacing w:before="0" w:after="0"/>
              <w:ind w:left="0"/>
              <w:rPr>
                <w:rFonts w:ascii="Calibri" w:hAnsi="Calibri" w:cs="Calibri"/>
              </w:rPr>
            </w:pPr>
          </w:p>
          <w:p w14:paraId="202B6090" w14:textId="74A6F630" w:rsidR="00770CC3" w:rsidRDefault="00770CC3" w:rsidP="00770CC3">
            <w:pPr>
              <w:spacing w:before="0" w:after="0"/>
              <w:ind w:left="0"/>
              <w:rPr>
                <w:rFonts w:ascii="Calibri" w:hAnsi="Calibri" w:cs="Calibri"/>
              </w:rPr>
            </w:pPr>
            <w:r w:rsidRPr="00323833">
              <w:rPr>
                <w:rFonts w:ascii="Calibri" w:hAnsi="Calibri" w:cs="Calibri"/>
              </w:rPr>
              <w:t xml:space="preserve">The Muskie School will investigate how/if other states have included these </w:t>
            </w:r>
            <w:r w:rsidR="00C6320D">
              <w:rPr>
                <w:rFonts w:ascii="Calibri" w:hAnsi="Calibri" w:cs="Calibri"/>
              </w:rPr>
              <w:t xml:space="preserve">non-primary care </w:t>
            </w:r>
            <w:r w:rsidRPr="00323833">
              <w:rPr>
                <w:rFonts w:ascii="Calibri" w:hAnsi="Calibri" w:cs="Calibri"/>
              </w:rPr>
              <w:t xml:space="preserve">services and if they only include administration costs or the cost both of administration and the </w:t>
            </w:r>
            <w:r w:rsidR="007E1E85" w:rsidRPr="00323833">
              <w:rPr>
                <w:rFonts w:ascii="Calibri" w:hAnsi="Calibri" w:cs="Calibri"/>
              </w:rPr>
              <w:t>equipment. Judy</w:t>
            </w:r>
            <w:r w:rsidRPr="00323833">
              <w:rPr>
                <w:rFonts w:ascii="Calibri" w:hAnsi="Calibri" w:cs="Calibri"/>
              </w:rPr>
              <w:t xml:space="preserve"> Loren indicated it is not always clear if the claim is for the procedure or the equipment so may be difficult to distinguish.</w:t>
            </w:r>
          </w:p>
          <w:p w14:paraId="6CDC3CDC" w14:textId="0F662E5D" w:rsidR="00881761" w:rsidRDefault="00881761" w:rsidP="00770CC3">
            <w:pPr>
              <w:spacing w:before="0" w:after="0"/>
              <w:ind w:left="0"/>
              <w:rPr>
                <w:rFonts w:ascii="Calibri" w:hAnsi="Calibri" w:cs="Calibri"/>
              </w:rPr>
            </w:pPr>
            <w:r>
              <w:rPr>
                <w:rFonts w:ascii="Calibri" w:hAnsi="Calibri" w:cs="Calibri"/>
              </w:rPr>
              <w:t>Judy Loren will run additional analyses of other primary care services not in current definition by primary care providers and OB/GYN to assess frequency of family planning in primary care settings or OB/GYn</w:t>
            </w:r>
          </w:p>
          <w:p w14:paraId="7A966DAA" w14:textId="77777777" w:rsidR="00770CC3" w:rsidRDefault="00770CC3" w:rsidP="00770CC3">
            <w:pPr>
              <w:spacing w:before="0" w:after="0"/>
              <w:ind w:left="0"/>
              <w:rPr>
                <w:rFonts w:ascii="Calibri" w:hAnsi="Calibri" w:cs="Calibri"/>
                <w:b/>
              </w:rPr>
            </w:pPr>
          </w:p>
          <w:p w14:paraId="18510948" w14:textId="02EB6F88" w:rsidR="00770CC3" w:rsidRPr="00956312" w:rsidRDefault="00770CC3" w:rsidP="00770CC3">
            <w:pPr>
              <w:spacing w:before="0" w:after="0"/>
              <w:ind w:left="0"/>
              <w:rPr>
                <w:rFonts w:ascii="Calibri" w:hAnsi="Calibri" w:cs="Calibri"/>
                <w:b/>
              </w:rPr>
            </w:pPr>
            <w:r>
              <w:rPr>
                <w:rFonts w:ascii="Calibri" w:hAnsi="Calibri" w:cs="Calibri"/>
              </w:rPr>
              <w:t>Muskie will</w:t>
            </w:r>
            <w:r w:rsidRPr="005B3F8F">
              <w:rPr>
                <w:rFonts w:ascii="Calibri" w:hAnsi="Calibri" w:cs="Calibri"/>
              </w:rPr>
              <w:t xml:space="preserve"> </w:t>
            </w:r>
            <w:r w:rsidR="007E1E85">
              <w:rPr>
                <w:rFonts w:ascii="Calibri" w:hAnsi="Calibri" w:cs="Calibri"/>
              </w:rPr>
              <w:t xml:space="preserve">also </w:t>
            </w:r>
            <w:r w:rsidRPr="005B3F8F">
              <w:rPr>
                <w:rFonts w:ascii="Calibri" w:hAnsi="Calibri" w:cs="Calibri"/>
              </w:rPr>
              <w:t>investigate how other states have i</w:t>
            </w:r>
            <w:r>
              <w:rPr>
                <w:rFonts w:ascii="Calibri" w:hAnsi="Calibri" w:cs="Calibri"/>
              </w:rPr>
              <w:t xml:space="preserve">ncluded labs in their estimates.  </w:t>
            </w:r>
          </w:p>
        </w:tc>
        <w:tc>
          <w:tcPr>
            <w:tcW w:w="4140" w:type="dxa"/>
            <w:tcBorders>
              <w:top w:val="single" w:sz="4" w:space="0" w:color="auto"/>
              <w:left w:val="single" w:sz="6" w:space="0" w:color="auto"/>
              <w:bottom w:val="single" w:sz="4" w:space="0" w:color="auto"/>
            </w:tcBorders>
          </w:tcPr>
          <w:p w14:paraId="4096C444" w14:textId="6F62DE29" w:rsidR="00D57199" w:rsidRDefault="00D57199" w:rsidP="00D57199">
            <w:pPr>
              <w:spacing w:before="0" w:after="0"/>
              <w:ind w:left="0"/>
              <w:rPr>
                <w:rFonts w:ascii="Calibri" w:hAnsi="Calibri" w:cs="Calibri"/>
              </w:rPr>
            </w:pPr>
            <w:r>
              <w:rPr>
                <w:rFonts w:ascii="Calibri" w:hAnsi="Calibri" w:cs="Calibri"/>
              </w:rPr>
              <w:t>R</w:t>
            </w:r>
            <w:r w:rsidRPr="00B15453">
              <w:rPr>
                <w:rFonts w:ascii="Calibri" w:hAnsi="Calibri" w:cs="Calibri"/>
              </w:rPr>
              <w:t>ecommend</w:t>
            </w:r>
            <w:r>
              <w:rPr>
                <w:rFonts w:ascii="Calibri" w:hAnsi="Calibri" w:cs="Calibri"/>
              </w:rPr>
              <w:t xml:space="preserve"> </w:t>
            </w:r>
            <w:r w:rsidRPr="00B15453">
              <w:rPr>
                <w:rFonts w:ascii="Calibri" w:hAnsi="Calibri" w:cs="Calibri"/>
              </w:rPr>
              <w:t>exclud</w:t>
            </w:r>
            <w:r w:rsidR="00743535">
              <w:rPr>
                <w:rFonts w:ascii="Calibri" w:hAnsi="Calibri" w:cs="Calibri"/>
              </w:rPr>
              <w:t>ing</w:t>
            </w:r>
            <w:r w:rsidRPr="00B15453">
              <w:rPr>
                <w:rFonts w:ascii="Calibri" w:hAnsi="Calibri" w:cs="Calibri"/>
              </w:rPr>
              <w:t xml:space="preserve"> family planning </w:t>
            </w:r>
            <w:r>
              <w:rPr>
                <w:rFonts w:ascii="Calibri" w:hAnsi="Calibri" w:cs="Calibri"/>
              </w:rPr>
              <w:t xml:space="preserve">services </w:t>
            </w:r>
            <w:r w:rsidRPr="00B15453">
              <w:rPr>
                <w:rFonts w:ascii="Calibri" w:hAnsi="Calibri" w:cs="Calibri"/>
              </w:rPr>
              <w:t>and labs</w:t>
            </w:r>
            <w:r>
              <w:rPr>
                <w:rFonts w:ascii="Calibri" w:hAnsi="Calibri" w:cs="Calibri"/>
              </w:rPr>
              <w:t xml:space="preserve"> </w:t>
            </w:r>
            <w:r w:rsidR="00384B44">
              <w:rPr>
                <w:rFonts w:ascii="Calibri" w:hAnsi="Calibri" w:cs="Calibri"/>
              </w:rPr>
              <w:t xml:space="preserve">for this initial report </w:t>
            </w:r>
            <w:r w:rsidR="00743535">
              <w:rPr>
                <w:rFonts w:ascii="Calibri" w:hAnsi="Calibri" w:cs="Calibri"/>
              </w:rPr>
              <w:t xml:space="preserve">to Advisory Group </w:t>
            </w:r>
            <w:r>
              <w:rPr>
                <w:rFonts w:ascii="Calibri" w:hAnsi="Calibri" w:cs="Calibri"/>
              </w:rPr>
              <w:t>because:</w:t>
            </w:r>
          </w:p>
          <w:p w14:paraId="72F43BEB" w14:textId="1302E70C" w:rsidR="00D57199" w:rsidRDefault="00592973" w:rsidP="00D57199">
            <w:pPr>
              <w:pStyle w:val="ListParagraph"/>
              <w:numPr>
                <w:ilvl w:val="0"/>
                <w:numId w:val="27"/>
              </w:numPr>
              <w:spacing w:before="0" w:after="0"/>
              <w:ind w:left="465"/>
              <w:rPr>
                <w:rFonts w:ascii="Calibri" w:hAnsi="Calibri" w:cs="Calibri"/>
              </w:rPr>
            </w:pPr>
            <w:r>
              <w:rPr>
                <w:rFonts w:ascii="Calibri" w:hAnsi="Calibri" w:cs="Calibri"/>
              </w:rPr>
              <w:t>It</w:t>
            </w:r>
            <w:r w:rsidR="00D57199">
              <w:rPr>
                <w:rFonts w:ascii="Calibri" w:hAnsi="Calibri" w:cs="Calibri"/>
              </w:rPr>
              <w:t xml:space="preserve"> is in alignment</w:t>
            </w:r>
            <w:r w:rsidR="00D57199" w:rsidRPr="00B15453">
              <w:rPr>
                <w:rFonts w:ascii="Calibri" w:hAnsi="Calibri" w:cs="Calibri"/>
              </w:rPr>
              <w:t xml:space="preserve"> with </w:t>
            </w:r>
            <w:r>
              <w:rPr>
                <w:rFonts w:ascii="Calibri" w:hAnsi="Calibri" w:cs="Calibri"/>
              </w:rPr>
              <w:t>most of</w:t>
            </w:r>
            <w:r w:rsidR="00D57199">
              <w:rPr>
                <w:rFonts w:ascii="Calibri" w:hAnsi="Calibri" w:cs="Calibri"/>
              </w:rPr>
              <w:t xml:space="preserve"> </w:t>
            </w:r>
            <w:r w:rsidR="00D57199" w:rsidRPr="00B15453">
              <w:rPr>
                <w:rFonts w:ascii="Calibri" w:hAnsi="Calibri" w:cs="Calibri"/>
              </w:rPr>
              <w:t>other stat</w:t>
            </w:r>
            <w:r w:rsidR="00D57199">
              <w:rPr>
                <w:rFonts w:ascii="Calibri" w:hAnsi="Calibri" w:cs="Calibri"/>
              </w:rPr>
              <w:t>es</w:t>
            </w:r>
            <w:r>
              <w:rPr>
                <w:rFonts w:ascii="Calibri" w:hAnsi="Calibri" w:cs="Calibri"/>
              </w:rPr>
              <w:t xml:space="preserve"> </w:t>
            </w:r>
            <w:r w:rsidR="00D57199">
              <w:rPr>
                <w:rFonts w:ascii="Calibri" w:hAnsi="Calibri" w:cs="Calibri"/>
              </w:rPr>
              <w:t xml:space="preserve">as confirmed by Muskie </w:t>
            </w:r>
            <w:r w:rsidR="00384B44">
              <w:rPr>
                <w:rFonts w:ascii="Calibri" w:hAnsi="Calibri" w:cs="Calibri"/>
              </w:rPr>
              <w:t xml:space="preserve">additional </w:t>
            </w:r>
            <w:r w:rsidR="00D57199">
              <w:rPr>
                <w:rFonts w:ascii="Calibri" w:hAnsi="Calibri" w:cs="Calibri"/>
              </w:rPr>
              <w:t>investigation</w:t>
            </w:r>
            <w:r w:rsidR="00D57199" w:rsidRPr="00B15453">
              <w:rPr>
                <w:rFonts w:ascii="Calibri" w:hAnsi="Calibri" w:cs="Calibri"/>
              </w:rPr>
              <w:t xml:space="preserve">. </w:t>
            </w:r>
          </w:p>
          <w:p w14:paraId="18EA1BA1" w14:textId="67A4BB06" w:rsidR="00D57199" w:rsidRDefault="00D57199" w:rsidP="00D57199">
            <w:pPr>
              <w:pStyle w:val="ListParagraph"/>
              <w:numPr>
                <w:ilvl w:val="0"/>
                <w:numId w:val="27"/>
              </w:numPr>
              <w:spacing w:before="0" w:after="0"/>
              <w:ind w:left="465"/>
              <w:rPr>
                <w:rFonts w:ascii="Calibri" w:hAnsi="Calibri" w:cs="Calibri"/>
              </w:rPr>
            </w:pPr>
            <w:r>
              <w:rPr>
                <w:rFonts w:ascii="Calibri" w:hAnsi="Calibri" w:cs="Calibri"/>
              </w:rPr>
              <w:t>Most</w:t>
            </w:r>
            <w:r w:rsidRPr="00B15453">
              <w:rPr>
                <w:rFonts w:ascii="Calibri" w:hAnsi="Calibri" w:cs="Calibri"/>
              </w:rPr>
              <w:t xml:space="preserve"> family planning services </w:t>
            </w:r>
            <w:r>
              <w:rPr>
                <w:rFonts w:ascii="Calibri" w:hAnsi="Calibri" w:cs="Calibri"/>
              </w:rPr>
              <w:t xml:space="preserve">(i.e. contraception such as IUD) </w:t>
            </w:r>
            <w:r w:rsidRPr="00B15453">
              <w:rPr>
                <w:rFonts w:ascii="Calibri" w:hAnsi="Calibri" w:cs="Calibri"/>
              </w:rPr>
              <w:t>are being performed by Ob/Gyns</w:t>
            </w:r>
            <w:r w:rsidR="00384B44">
              <w:rPr>
                <w:rFonts w:ascii="Calibri" w:hAnsi="Calibri" w:cs="Calibri"/>
              </w:rPr>
              <w:t xml:space="preserve"> </w:t>
            </w:r>
            <w:r w:rsidR="00592973">
              <w:rPr>
                <w:rFonts w:ascii="Calibri" w:hAnsi="Calibri" w:cs="Calibri"/>
              </w:rPr>
              <w:t>and our</w:t>
            </w:r>
            <w:r w:rsidR="00384B44">
              <w:rPr>
                <w:rFonts w:ascii="Calibri" w:hAnsi="Calibri" w:cs="Calibri"/>
              </w:rPr>
              <w:t xml:space="preserve"> current definition </w:t>
            </w:r>
            <w:r w:rsidRPr="005B6492">
              <w:rPr>
                <w:rFonts w:ascii="Calibri" w:hAnsi="Calibri" w:cs="Calibri"/>
              </w:rPr>
              <w:t xml:space="preserve">already </w:t>
            </w:r>
            <w:r w:rsidR="00384B44">
              <w:rPr>
                <w:rFonts w:ascii="Calibri" w:hAnsi="Calibri" w:cs="Calibri"/>
              </w:rPr>
              <w:t xml:space="preserve">includes </w:t>
            </w:r>
            <w:r w:rsidRPr="005B6492">
              <w:rPr>
                <w:rFonts w:ascii="Calibri" w:hAnsi="Calibri" w:cs="Calibri"/>
              </w:rPr>
              <w:t>primary care services delivered</w:t>
            </w:r>
            <w:r>
              <w:rPr>
                <w:rFonts w:ascii="Calibri" w:hAnsi="Calibri" w:cs="Calibri"/>
              </w:rPr>
              <w:t xml:space="preserve"> at family planning clinics. </w:t>
            </w:r>
          </w:p>
          <w:p w14:paraId="77DDBCA2" w14:textId="555EDE77" w:rsidR="00770CC3" w:rsidRPr="00D57199" w:rsidRDefault="00D57199" w:rsidP="00D57199">
            <w:pPr>
              <w:pStyle w:val="ListParagraph"/>
              <w:numPr>
                <w:ilvl w:val="0"/>
                <w:numId w:val="27"/>
              </w:numPr>
              <w:spacing w:before="0" w:after="0"/>
              <w:ind w:left="465"/>
              <w:rPr>
                <w:rFonts w:ascii="Calibri" w:hAnsi="Calibri" w:cs="Calibri"/>
              </w:rPr>
            </w:pPr>
            <w:r w:rsidRPr="00D57199">
              <w:rPr>
                <w:rFonts w:ascii="Calibri" w:hAnsi="Calibri" w:cs="Calibri"/>
              </w:rPr>
              <w:t xml:space="preserve">While there may be some specific labs or family planning services that should be included with primary care, </w:t>
            </w:r>
            <w:r w:rsidR="007E1E85">
              <w:rPr>
                <w:rFonts w:ascii="Calibri" w:hAnsi="Calibri" w:cs="Calibri"/>
              </w:rPr>
              <w:t>the research</w:t>
            </w:r>
            <w:r w:rsidRPr="00D57199">
              <w:rPr>
                <w:rFonts w:ascii="Calibri" w:hAnsi="Calibri" w:cs="Calibri"/>
              </w:rPr>
              <w:t xml:space="preserve"> required to identify them individually</w:t>
            </w:r>
            <w:r w:rsidR="007E1E85">
              <w:rPr>
                <w:rFonts w:ascii="Calibri" w:hAnsi="Calibri" w:cs="Calibri"/>
              </w:rPr>
              <w:t xml:space="preserve"> does not align with the </w:t>
            </w:r>
            <w:r w:rsidR="007E1E85">
              <w:rPr>
                <w:rFonts w:ascii="Calibri" w:hAnsi="Calibri" w:cs="Calibri"/>
              </w:rPr>
              <w:lastRenderedPageBreak/>
              <w:t>timing of when the report is due to</w:t>
            </w:r>
            <w:r w:rsidR="00592973">
              <w:rPr>
                <w:rFonts w:ascii="Calibri" w:hAnsi="Calibri" w:cs="Calibri"/>
              </w:rPr>
              <w:t xml:space="preserve"> </w:t>
            </w:r>
            <w:r w:rsidR="007E1E85" w:rsidRPr="00592973">
              <w:t>the Legislature.  As such we recommend including in the methodological notes in the final report that these services were excluded.</w:t>
            </w:r>
          </w:p>
        </w:tc>
      </w:tr>
      <w:tr w:rsidR="00770CC3" w14:paraId="3FE62DB3" w14:textId="77777777" w:rsidTr="00024201">
        <w:tc>
          <w:tcPr>
            <w:tcW w:w="5778" w:type="dxa"/>
            <w:tcBorders>
              <w:top w:val="single" w:sz="4" w:space="0" w:color="auto"/>
              <w:bottom w:val="single" w:sz="4" w:space="0" w:color="auto"/>
              <w:right w:val="single" w:sz="6" w:space="0" w:color="auto"/>
            </w:tcBorders>
          </w:tcPr>
          <w:p w14:paraId="2DDE7338" w14:textId="334BF119" w:rsidR="00770CC3" w:rsidRPr="00823674" w:rsidRDefault="00770CC3" w:rsidP="00C6320D">
            <w:pPr>
              <w:spacing w:before="0" w:after="0"/>
              <w:ind w:left="0"/>
              <w:rPr>
                <w:rFonts w:ascii="Calibri" w:hAnsi="Calibri" w:cs="Calibri"/>
              </w:rPr>
            </w:pPr>
            <w:r w:rsidRPr="00823674">
              <w:rPr>
                <w:rFonts w:ascii="Calibri" w:hAnsi="Calibri" w:cs="Calibri"/>
                <w:b/>
              </w:rPr>
              <w:lastRenderedPageBreak/>
              <w:t>OB/GYN</w:t>
            </w:r>
            <w:r w:rsidRPr="00823674">
              <w:rPr>
                <w:rFonts w:ascii="Calibri" w:hAnsi="Calibri" w:cs="Calibri"/>
              </w:rPr>
              <w:t xml:space="preserve"> services are only for those services considered primary care. </w:t>
            </w:r>
            <w:r>
              <w:rPr>
                <w:rFonts w:ascii="Calibri" w:hAnsi="Calibri" w:cs="Calibri"/>
              </w:rPr>
              <w:t xml:space="preserve"> </w:t>
            </w:r>
            <w:r w:rsidR="007E1E85">
              <w:rPr>
                <w:rFonts w:ascii="Calibri" w:hAnsi="Calibri" w:cs="Calibri"/>
              </w:rPr>
              <w:t xml:space="preserve"> Staff confirmed OB/GYN costs only include primary care services provided by OB/Gyn</w:t>
            </w:r>
          </w:p>
        </w:tc>
        <w:tc>
          <w:tcPr>
            <w:tcW w:w="4410" w:type="dxa"/>
            <w:tcBorders>
              <w:top w:val="single" w:sz="4" w:space="0" w:color="auto"/>
              <w:left w:val="single" w:sz="6" w:space="0" w:color="auto"/>
              <w:bottom w:val="single" w:sz="4" w:space="0" w:color="auto"/>
            </w:tcBorders>
          </w:tcPr>
          <w:p w14:paraId="49F7069B" w14:textId="036D1F2E" w:rsidR="00770CC3" w:rsidRPr="00956312" w:rsidRDefault="00C6320D" w:rsidP="00C6320D">
            <w:pPr>
              <w:spacing w:before="0" w:after="0"/>
              <w:ind w:left="0"/>
              <w:rPr>
                <w:rFonts w:ascii="Calibri" w:hAnsi="Calibri" w:cs="Calibri"/>
              </w:rPr>
            </w:pPr>
            <w:r>
              <w:rPr>
                <w:rFonts w:ascii="Calibri" w:hAnsi="Calibri" w:cs="Calibri"/>
              </w:rPr>
              <w:t xml:space="preserve">. </w:t>
            </w:r>
            <w:r w:rsidR="00770CC3">
              <w:rPr>
                <w:rFonts w:ascii="Calibri" w:hAnsi="Calibri" w:cs="Calibri"/>
              </w:rPr>
              <w:t>No additional action required</w:t>
            </w:r>
          </w:p>
        </w:tc>
        <w:tc>
          <w:tcPr>
            <w:tcW w:w="4140" w:type="dxa"/>
            <w:tcBorders>
              <w:top w:val="single" w:sz="4" w:space="0" w:color="auto"/>
              <w:left w:val="single" w:sz="6" w:space="0" w:color="auto"/>
              <w:bottom w:val="single" w:sz="4" w:space="0" w:color="auto"/>
            </w:tcBorders>
          </w:tcPr>
          <w:p w14:paraId="24C54B4A" w14:textId="10F6BEEB" w:rsidR="00770CC3" w:rsidRDefault="0046679D" w:rsidP="0046679D">
            <w:pPr>
              <w:spacing w:before="0" w:after="0"/>
              <w:ind w:left="0"/>
              <w:rPr>
                <w:rFonts w:ascii="Calibri" w:hAnsi="Calibri" w:cs="Calibri"/>
              </w:rPr>
            </w:pPr>
            <w:r>
              <w:rPr>
                <w:rFonts w:ascii="Calibri" w:hAnsi="Calibri" w:cs="Calibri"/>
              </w:rPr>
              <w:t xml:space="preserve">Clarify in the final report.  </w:t>
            </w:r>
          </w:p>
        </w:tc>
      </w:tr>
      <w:tr w:rsidR="00770CC3" w14:paraId="49606ED0" w14:textId="77777777" w:rsidTr="00024201">
        <w:tc>
          <w:tcPr>
            <w:tcW w:w="5778" w:type="dxa"/>
            <w:tcBorders>
              <w:top w:val="single" w:sz="4" w:space="0" w:color="auto"/>
              <w:bottom w:val="double" w:sz="4" w:space="0" w:color="auto"/>
              <w:right w:val="single" w:sz="6" w:space="0" w:color="auto"/>
            </w:tcBorders>
            <w:vAlign w:val="center"/>
          </w:tcPr>
          <w:p w14:paraId="4A0C3CA4" w14:textId="30550A50" w:rsidR="00770CC3" w:rsidRPr="00823674" w:rsidRDefault="00770CC3" w:rsidP="00770CC3">
            <w:pPr>
              <w:spacing w:before="0" w:after="0"/>
              <w:ind w:left="0"/>
              <w:jc w:val="center"/>
              <w:rPr>
                <w:rFonts w:ascii="Calibri" w:hAnsi="Calibri" w:cs="Calibri"/>
                <w:b/>
              </w:rPr>
            </w:pPr>
            <w:r w:rsidRPr="007C3A63">
              <w:rPr>
                <w:rFonts w:ascii="Calibri" w:hAnsi="Calibri" w:cs="Calibri"/>
                <w:color w:val="0070C0"/>
              </w:rPr>
              <w:t>ISSUE</w:t>
            </w:r>
          </w:p>
        </w:tc>
        <w:tc>
          <w:tcPr>
            <w:tcW w:w="4410" w:type="dxa"/>
            <w:tcBorders>
              <w:top w:val="single" w:sz="4" w:space="0" w:color="auto"/>
              <w:left w:val="single" w:sz="6" w:space="0" w:color="auto"/>
              <w:bottom w:val="double" w:sz="4" w:space="0" w:color="auto"/>
            </w:tcBorders>
            <w:vAlign w:val="center"/>
          </w:tcPr>
          <w:p w14:paraId="527F446E" w14:textId="49795A41" w:rsidR="00770CC3" w:rsidRPr="00323833" w:rsidRDefault="00770CC3" w:rsidP="00770CC3">
            <w:pPr>
              <w:ind w:left="0"/>
              <w:jc w:val="center"/>
              <w:rPr>
                <w:rFonts w:ascii="Calibri" w:hAnsi="Calibri" w:cs="Calibri"/>
              </w:rPr>
            </w:pPr>
            <w:r w:rsidRPr="007C3A63">
              <w:rPr>
                <w:rFonts w:ascii="Calibri" w:hAnsi="Calibri" w:cs="Calibri"/>
                <w:caps/>
                <w:color w:val="0070C0"/>
              </w:rPr>
              <w:t>Action to Address</w:t>
            </w:r>
          </w:p>
        </w:tc>
        <w:tc>
          <w:tcPr>
            <w:tcW w:w="4140" w:type="dxa"/>
            <w:tcBorders>
              <w:top w:val="single" w:sz="4" w:space="0" w:color="auto"/>
              <w:left w:val="single" w:sz="6" w:space="0" w:color="auto"/>
              <w:bottom w:val="double" w:sz="4" w:space="0" w:color="auto"/>
            </w:tcBorders>
            <w:vAlign w:val="center"/>
          </w:tcPr>
          <w:p w14:paraId="77711C87" w14:textId="4F885C7C" w:rsidR="00770CC3" w:rsidRDefault="00770CC3" w:rsidP="00770CC3">
            <w:pPr>
              <w:spacing w:before="0" w:after="0"/>
              <w:jc w:val="center"/>
              <w:rPr>
                <w:rFonts w:ascii="Calibri" w:hAnsi="Calibri" w:cs="Calibri"/>
              </w:rPr>
            </w:pPr>
            <w:r w:rsidRPr="007C3A63">
              <w:rPr>
                <w:rFonts w:ascii="Calibri" w:hAnsi="Calibri" w:cs="Calibri"/>
                <w:caps/>
                <w:color w:val="0070C0"/>
              </w:rPr>
              <w:t>OUTCOMES/NEXT STEPS</w:t>
            </w:r>
          </w:p>
        </w:tc>
      </w:tr>
      <w:tr w:rsidR="00770CC3" w14:paraId="7A656162" w14:textId="77777777" w:rsidTr="00024201">
        <w:tc>
          <w:tcPr>
            <w:tcW w:w="5778" w:type="dxa"/>
            <w:tcBorders>
              <w:top w:val="double" w:sz="4" w:space="0" w:color="auto"/>
              <w:bottom w:val="single" w:sz="4" w:space="0" w:color="auto"/>
              <w:right w:val="single" w:sz="6" w:space="0" w:color="auto"/>
            </w:tcBorders>
          </w:tcPr>
          <w:p w14:paraId="323900E3" w14:textId="61907AFA" w:rsidR="00770CC3" w:rsidRPr="00323833" w:rsidRDefault="00770CC3" w:rsidP="00770CC3">
            <w:pPr>
              <w:spacing w:before="0" w:after="0"/>
              <w:ind w:left="0"/>
              <w:rPr>
                <w:rFonts w:ascii="Calibri" w:hAnsi="Calibri" w:cs="Calibri"/>
              </w:rPr>
            </w:pPr>
            <w:r w:rsidRPr="00823674">
              <w:rPr>
                <w:rFonts w:ascii="Calibri" w:hAnsi="Calibri" w:cs="Calibri"/>
                <w:b/>
              </w:rPr>
              <w:t>Rural Hospitals</w:t>
            </w:r>
            <w:r w:rsidRPr="00823674">
              <w:rPr>
                <w:rFonts w:ascii="Calibri" w:hAnsi="Calibri" w:cs="Calibri"/>
              </w:rPr>
              <w:t xml:space="preserve">: Was cost-based reimbursement captured for rural hospitals? Smaller hospitals are hiring providers in order to get reimbursed indirectly for primary care. This is a way they fund primary care. David Winslow could help sort out the issue around provider based reimbursement. </w:t>
            </w:r>
          </w:p>
        </w:tc>
        <w:tc>
          <w:tcPr>
            <w:tcW w:w="4410" w:type="dxa"/>
            <w:tcBorders>
              <w:top w:val="double" w:sz="4" w:space="0" w:color="auto"/>
              <w:left w:val="single" w:sz="6" w:space="0" w:color="auto"/>
              <w:bottom w:val="single" w:sz="4" w:space="0" w:color="auto"/>
            </w:tcBorders>
          </w:tcPr>
          <w:p w14:paraId="3AD6C415" w14:textId="77777777" w:rsidR="00770CC3" w:rsidRDefault="00770CC3" w:rsidP="00770CC3">
            <w:pPr>
              <w:ind w:left="0"/>
              <w:rPr>
                <w:rFonts w:ascii="Calibri" w:hAnsi="Calibri" w:cs="Calibri"/>
              </w:rPr>
            </w:pPr>
            <w:r w:rsidRPr="00323833">
              <w:rPr>
                <w:rFonts w:ascii="Calibri" w:hAnsi="Calibri" w:cs="Calibri"/>
              </w:rPr>
              <w:t xml:space="preserve">Determine if CAHs need to be treated/counted differently due to cost-based reimbursement and/or explained in report. </w:t>
            </w:r>
          </w:p>
          <w:p w14:paraId="4FE3C8E0" w14:textId="72763568" w:rsidR="00770CC3" w:rsidRPr="005B3F8F" w:rsidRDefault="00770CC3" w:rsidP="00770CC3">
            <w:pPr>
              <w:ind w:left="0"/>
              <w:rPr>
                <w:rFonts w:ascii="Calibri" w:hAnsi="Calibri" w:cs="Calibri"/>
              </w:rPr>
            </w:pPr>
            <w:r w:rsidRPr="00956312">
              <w:rPr>
                <w:rFonts w:ascii="Calibri" w:hAnsi="Calibri" w:cs="Calibri"/>
              </w:rPr>
              <w:t xml:space="preserve">Staff will reach out to David Winslow and Lisa Harvey McPherson to get more information on cost-based reimbursement of CAHs to inform how primary care services provided in these settings are captured. </w:t>
            </w:r>
          </w:p>
        </w:tc>
        <w:tc>
          <w:tcPr>
            <w:tcW w:w="4140" w:type="dxa"/>
            <w:tcBorders>
              <w:top w:val="double" w:sz="4" w:space="0" w:color="auto"/>
              <w:left w:val="single" w:sz="6" w:space="0" w:color="auto"/>
              <w:bottom w:val="single" w:sz="4" w:space="0" w:color="auto"/>
            </w:tcBorders>
          </w:tcPr>
          <w:p w14:paraId="525FC909" w14:textId="559F26F6" w:rsidR="006D7007" w:rsidRDefault="0046679D" w:rsidP="0046679D">
            <w:pPr>
              <w:spacing w:before="0" w:after="0"/>
              <w:ind w:left="0"/>
              <w:rPr>
                <w:rFonts w:ascii="Calibri" w:hAnsi="Calibri" w:cs="Calibri"/>
              </w:rPr>
            </w:pPr>
            <w:r w:rsidRPr="0046679D">
              <w:rPr>
                <w:rFonts w:ascii="Calibri" w:hAnsi="Calibri" w:cs="Calibri"/>
              </w:rPr>
              <w:t xml:space="preserve">David Winslow </w:t>
            </w:r>
            <w:r>
              <w:rPr>
                <w:rFonts w:ascii="Calibri" w:hAnsi="Calibri" w:cs="Calibri"/>
              </w:rPr>
              <w:t>confirmed that there</w:t>
            </w:r>
            <w:r w:rsidRPr="0046679D">
              <w:rPr>
                <w:rFonts w:ascii="Calibri" w:hAnsi="Calibri" w:cs="Calibri"/>
              </w:rPr>
              <w:t xml:space="preserve"> is a cost adjustment at the end of the year fr</w:t>
            </w:r>
            <w:r>
              <w:rPr>
                <w:rFonts w:ascii="Calibri" w:hAnsi="Calibri" w:cs="Calibri"/>
              </w:rPr>
              <w:t>om the public payers to the critical access hospitals</w:t>
            </w:r>
            <w:r w:rsidRPr="0046679D">
              <w:rPr>
                <w:rFonts w:ascii="Calibri" w:hAnsi="Calibri" w:cs="Calibri"/>
              </w:rPr>
              <w:t xml:space="preserve">. </w:t>
            </w:r>
            <w:r w:rsidR="00384B44">
              <w:rPr>
                <w:rFonts w:ascii="Calibri" w:hAnsi="Calibri" w:cs="Calibri"/>
              </w:rPr>
              <w:t>However, s</w:t>
            </w:r>
            <w:r w:rsidR="006D7007">
              <w:rPr>
                <w:rFonts w:ascii="Calibri" w:hAnsi="Calibri" w:cs="Calibri"/>
              </w:rPr>
              <w:t xml:space="preserve">ince </w:t>
            </w:r>
            <w:r w:rsidR="006D7007" w:rsidRPr="006D7007">
              <w:rPr>
                <w:rFonts w:ascii="Calibri" w:hAnsi="Calibri" w:cs="Calibri"/>
              </w:rPr>
              <w:t>the settlement amount doesn’t account for prim</w:t>
            </w:r>
            <w:r w:rsidR="006D7007">
              <w:rPr>
                <w:rFonts w:ascii="Calibri" w:hAnsi="Calibri" w:cs="Calibri"/>
              </w:rPr>
              <w:t xml:space="preserve">ary versus specialty care, </w:t>
            </w:r>
            <w:r w:rsidR="006D7007" w:rsidRPr="006D7007">
              <w:rPr>
                <w:rFonts w:ascii="Calibri" w:hAnsi="Calibri" w:cs="Calibri"/>
              </w:rPr>
              <w:t xml:space="preserve">it </w:t>
            </w:r>
            <w:r w:rsidR="00384B44">
              <w:rPr>
                <w:rFonts w:ascii="Calibri" w:hAnsi="Calibri" w:cs="Calibri"/>
              </w:rPr>
              <w:t xml:space="preserve">should not </w:t>
            </w:r>
            <w:r w:rsidR="006D7007" w:rsidRPr="006D7007">
              <w:rPr>
                <w:rFonts w:ascii="Calibri" w:hAnsi="Calibri" w:cs="Calibri"/>
              </w:rPr>
              <w:t>change the percentage</w:t>
            </w:r>
            <w:r w:rsidR="00384B44">
              <w:rPr>
                <w:rFonts w:ascii="Calibri" w:hAnsi="Calibri" w:cs="Calibri"/>
              </w:rPr>
              <w:t xml:space="preserve"> spent on primary care</w:t>
            </w:r>
            <w:r w:rsidR="006D7007" w:rsidRPr="006D7007">
              <w:rPr>
                <w:rFonts w:ascii="Calibri" w:hAnsi="Calibri" w:cs="Calibri"/>
              </w:rPr>
              <w:t xml:space="preserve">. </w:t>
            </w:r>
            <w:r w:rsidR="006D7007">
              <w:rPr>
                <w:rFonts w:ascii="Calibri" w:hAnsi="Calibri" w:cs="Calibri"/>
              </w:rPr>
              <w:t>S</w:t>
            </w:r>
            <w:r w:rsidR="006D7007" w:rsidRPr="006D7007">
              <w:rPr>
                <w:rFonts w:ascii="Calibri" w:hAnsi="Calibri" w:cs="Calibri"/>
              </w:rPr>
              <w:t xml:space="preserve">howing percentages </w:t>
            </w:r>
            <w:r w:rsidR="006D7007">
              <w:rPr>
                <w:rFonts w:ascii="Calibri" w:hAnsi="Calibri" w:cs="Calibri"/>
              </w:rPr>
              <w:t xml:space="preserve">instead of </w:t>
            </w:r>
            <w:r w:rsidR="00384B44">
              <w:rPr>
                <w:rFonts w:ascii="Calibri" w:hAnsi="Calibri" w:cs="Calibri"/>
              </w:rPr>
              <w:t xml:space="preserve">total </w:t>
            </w:r>
            <w:r w:rsidR="006D7007">
              <w:rPr>
                <w:rFonts w:ascii="Calibri" w:hAnsi="Calibri" w:cs="Calibri"/>
              </w:rPr>
              <w:t xml:space="preserve">dollar </w:t>
            </w:r>
            <w:r w:rsidR="006D7007" w:rsidRPr="006D7007">
              <w:rPr>
                <w:rFonts w:ascii="Calibri" w:hAnsi="Calibri" w:cs="Calibri"/>
              </w:rPr>
              <w:t xml:space="preserve">will cancel out this issue. </w:t>
            </w:r>
          </w:p>
          <w:p w14:paraId="10126C9D" w14:textId="77777777" w:rsidR="006D7007" w:rsidRDefault="006D7007" w:rsidP="0046679D">
            <w:pPr>
              <w:spacing w:before="0" w:after="0"/>
              <w:ind w:left="0"/>
              <w:rPr>
                <w:rFonts w:ascii="Calibri" w:hAnsi="Calibri" w:cs="Calibri"/>
              </w:rPr>
            </w:pPr>
          </w:p>
          <w:p w14:paraId="709E0CFE" w14:textId="5375E207" w:rsidR="0046679D" w:rsidRDefault="008E122F" w:rsidP="00384B44">
            <w:pPr>
              <w:spacing w:before="0" w:after="0"/>
              <w:ind w:left="0"/>
              <w:rPr>
                <w:rFonts w:ascii="Calibri" w:hAnsi="Calibri" w:cs="Calibri"/>
              </w:rPr>
            </w:pPr>
            <w:r>
              <w:rPr>
                <w:rFonts w:ascii="Calibri" w:hAnsi="Calibri" w:cs="Calibri"/>
              </w:rPr>
              <w:t>Staff recommends</w:t>
            </w:r>
            <w:r w:rsidR="00497682">
              <w:rPr>
                <w:rFonts w:ascii="Calibri" w:hAnsi="Calibri" w:cs="Calibri"/>
              </w:rPr>
              <w:t xml:space="preserve"> </w:t>
            </w:r>
            <w:r>
              <w:rPr>
                <w:rFonts w:ascii="Calibri" w:hAnsi="Calibri" w:cs="Calibri"/>
              </w:rPr>
              <w:t>addressing</w:t>
            </w:r>
            <w:r w:rsidR="00497682">
              <w:rPr>
                <w:rFonts w:ascii="Calibri" w:hAnsi="Calibri" w:cs="Calibri"/>
              </w:rPr>
              <w:t xml:space="preserve"> this by</w:t>
            </w:r>
            <w:r w:rsidR="006D7007">
              <w:rPr>
                <w:rFonts w:ascii="Calibri" w:hAnsi="Calibri" w:cs="Calibri"/>
              </w:rPr>
              <w:t xml:space="preserve"> clearly explain</w:t>
            </w:r>
            <w:r w:rsidR="00497682">
              <w:rPr>
                <w:rFonts w:ascii="Calibri" w:hAnsi="Calibri" w:cs="Calibri"/>
              </w:rPr>
              <w:t>ing in the final report</w:t>
            </w:r>
            <w:r w:rsidR="006D7007" w:rsidRPr="006D7007">
              <w:rPr>
                <w:rFonts w:ascii="Calibri" w:hAnsi="Calibri" w:cs="Calibri"/>
              </w:rPr>
              <w:t xml:space="preserve"> that the distribution </w:t>
            </w:r>
            <w:r w:rsidR="00497682">
              <w:rPr>
                <w:rFonts w:ascii="Calibri" w:hAnsi="Calibri" w:cs="Calibri"/>
              </w:rPr>
              <w:t xml:space="preserve">to primary care </w:t>
            </w:r>
            <w:r w:rsidR="006D7007" w:rsidRPr="006D7007">
              <w:rPr>
                <w:rFonts w:ascii="Calibri" w:hAnsi="Calibri" w:cs="Calibri"/>
              </w:rPr>
              <w:t xml:space="preserve">will be the same regardless </w:t>
            </w:r>
            <w:r w:rsidR="00384B44">
              <w:rPr>
                <w:rFonts w:ascii="Calibri" w:hAnsi="Calibri" w:cs="Calibri"/>
              </w:rPr>
              <w:t>inclusion/non-inclusion</w:t>
            </w:r>
            <w:r w:rsidR="00592973">
              <w:rPr>
                <w:rFonts w:ascii="Calibri" w:hAnsi="Calibri" w:cs="Calibri"/>
              </w:rPr>
              <w:t xml:space="preserve"> </w:t>
            </w:r>
            <w:r w:rsidR="006D7007" w:rsidRPr="006D7007">
              <w:rPr>
                <w:rFonts w:ascii="Calibri" w:hAnsi="Calibri" w:cs="Calibri"/>
              </w:rPr>
              <w:t>of the cost settlement.</w:t>
            </w:r>
            <w:r w:rsidR="00497682">
              <w:rPr>
                <w:rFonts w:ascii="Calibri" w:hAnsi="Calibri" w:cs="Calibri"/>
              </w:rPr>
              <w:t xml:space="preserve"> </w:t>
            </w:r>
          </w:p>
        </w:tc>
      </w:tr>
      <w:tr w:rsidR="00770CC3" w14:paraId="7EC1C84B" w14:textId="77777777" w:rsidTr="00024201">
        <w:tc>
          <w:tcPr>
            <w:tcW w:w="5778" w:type="dxa"/>
            <w:tcBorders>
              <w:top w:val="single" w:sz="4" w:space="0" w:color="auto"/>
              <w:bottom w:val="single" w:sz="4" w:space="0" w:color="auto"/>
              <w:right w:val="single" w:sz="6" w:space="0" w:color="auto"/>
            </w:tcBorders>
          </w:tcPr>
          <w:p w14:paraId="518864B8" w14:textId="77237065" w:rsidR="00770CC3" w:rsidRPr="00323833" w:rsidRDefault="00770CC3" w:rsidP="00770CC3">
            <w:pPr>
              <w:spacing w:before="0" w:after="0"/>
              <w:ind w:left="0"/>
              <w:rPr>
                <w:rFonts w:ascii="Calibri" w:hAnsi="Calibri" w:cs="Calibri"/>
              </w:rPr>
            </w:pPr>
            <w:r w:rsidRPr="00323833">
              <w:rPr>
                <w:rFonts w:ascii="Calibri" w:hAnsi="Calibri" w:cs="Calibri"/>
                <w:b/>
              </w:rPr>
              <w:t>LTC facilities</w:t>
            </w:r>
            <w:r w:rsidRPr="00323833">
              <w:rPr>
                <w:rFonts w:ascii="Calibri" w:hAnsi="Calibri" w:cs="Calibri"/>
              </w:rPr>
              <w:t xml:space="preserve">: </w:t>
            </w:r>
            <w:r>
              <w:rPr>
                <w:rFonts w:ascii="Calibri" w:hAnsi="Calibri" w:cs="Calibri"/>
              </w:rPr>
              <w:t>Group agreed that s</w:t>
            </w:r>
            <w:r w:rsidRPr="00323833">
              <w:rPr>
                <w:rFonts w:ascii="Calibri" w:hAnsi="Calibri" w:cs="Calibri"/>
              </w:rPr>
              <w:t>ervices by primary care providers</w:t>
            </w:r>
            <w:r w:rsidR="00C6320D">
              <w:rPr>
                <w:rFonts w:ascii="Calibri" w:hAnsi="Calibri" w:cs="Calibri"/>
              </w:rPr>
              <w:t xml:space="preserve"> provided</w:t>
            </w:r>
            <w:r w:rsidRPr="00323833">
              <w:rPr>
                <w:rFonts w:ascii="Calibri" w:hAnsi="Calibri" w:cs="Calibri"/>
              </w:rPr>
              <w:t xml:space="preserve"> in LTC facilities should be included. </w:t>
            </w:r>
          </w:p>
        </w:tc>
        <w:tc>
          <w:tcPr>
            <w:tcW w:w="4410" w:type="dxa"/>
            <w:tcBorders>
              <w:top w:val="single" w:sz="4" w:space="0" w:color="auto"/>
              <w:left w:val="single" w:sz="6" w:space="0" w:color="auto"/>
              <w:bottom w:val="single" w:sz="4" w:space="0" w:color="auto"/>
            </w:tcBorders>
          </w:tcPr>
          <w:p w14:paraId="788CB67D" w14:textId="6FB5DAE8" w:rsidR="00770CC3" w:rsidRPr="00956312" w:rsidRDefault="00770CC3" w:rsidP="00743535">
            <w:pPr>
              <w:spacing w:before="0" w:after="0"/>
              <w:ind w:left="0"/>
              <w:rPr>
                <w:rFonts w:ascii="Calibri" w:hAnsi="Calibri" w:cs="Calibri"/>
              </w:rPr>
            </w:pPr>
            <w:r w:rsidRPr="00323833">
              <w:rPr>
                <w:rFonts w:ascii="Calibri" w:hAnsi="Calibri" w:cs="Calibri"/>
              </w:rPr>
              <w:t xml:space="preserve">Include the Medicaid </w:t>
            </w:r>
            <w:r w:rsidR="00743535">
              <w:rPr>
                <w:rFonts w:ascii="Calibri" w:hAnsi="Calibri" w:cs="Calibri"/>
              </w:rPr>
              <w:t>in residential non-</w:t>
            </w:r>
            <w:r w:rsidRPr="00323833">
              <w:rPr>
                <w:rFonts w:ascii="Calibri" w:hAnsi="Calibri" w:cs="Calibri"/>
              </w:rPr>
              <w:t>SNF</w:t>
            </w:r>
            <w:r w:rsidR="00743535">
              <w:rPr>
                <w:rFonts w:ascii="Calibri" w:hAnsi="Calibri" w:cs="Calibri"/>
              </w:rPr>
              <w:t xml:space="preserve"> locations</w:t>
            </w:r>
            <w:r w:rsidRPr="00323833">
              <w:rPr>
                <w:rFonts w:ascii="Calibri" w:hAnsi="Calibri" w:cs="Calibri"/>
              </w:rPr>
              <w:t xml:space="preserve">, as long as the services are primary care.  </w:t>
            </w:r>
          </w:p>
        </w:tc>
        <w:tc>
          <w:tcPr>
            <w:tcW w:w="4140" w:type="dxa"/>
            <w:tcBorders>
              <w:top w:val="single" w:sz="4" w:space="0" w:color="auto"/>
              <w:left w:val="single" w:sz="6" w:space="0" w:color="auto"/>
              <w:bottom w:val="single" w:sz="4" w:space="0" w:color="auto"/>
            </w:tcBorders>
          </w:tcPr>
          <w:p w14:paraId="4941DCD6" w14:textId="2F1552C3" w:rsidR="00770CC3" w:rsidRDefault="00D57199" w:rsidP="00743535">
            <w:pPr>
              <w:spacing w:before="0" w:after="0"/>
              <w:ind w:left="0"/>
              <w:rPr>
                <w:rFonts w:ascii="Calibri" w:hAnsi="Calibri" w:cs="Calibri"/>
              </w:rPr>
            </w:pPr>
            <w:r>
              <w:rPr>
                <w:rFonts w:ascii="Calibri" w:hAnsi="Calibri" w:cs="Calibri"/>
              </w:rPr>
              <w:t xml:space="preserve"> </w:t>
            </w:r>
            <w:r w:rsidR="00743535">
              <w:rPr>
                <w:rFonts w:ascii="Calibri" w:hAnsi="Calibri" w:cs="Calibri"/>
              </w:rPr>
              <w:t xml:space="preserve">LT residential non-SNF </w:t>
            </w:r>
            <w:r>
              <w:rPr>
                <w:rFonts w:ascii="Calibri" w:hAnsi="Calibri" w:cs="Calibri"/>
              </w:rPr>
              <w:t xml:space="preserve">codes </w:t>
            </w:r>
            <w:r w:rsidR="00384B44">
              <w:rPr>
                <w:rFonts w:ascii="Calibri" w:hAnsi="Calibri" w:cs="Calibri"/>
              </w:rPr>
              <w:t xml:space="preserve">where primary care providers were providing primary care services </w:t>
            </w:r>
            <w:r w:rsidR="00743535">
              <w:rPr>
                <w:rFonts w:ascii="Calibri" w:hAnsi="Calibri" w:cs="Calibri"/>
              </w:rPr>
              <w:t xml:space="preserve">will be </w:t>
            </w:r>
            <w:r w:rsidR="00384B44">
              <w:rPr>
                <w:rFonts w:ascii="Calibri" w:hAnsi="Calibri" w:cs="Calibri"/>
              </w:rPr>
              <w:t xml:space="preserve">added into the definition </w:t>
            </w:r>
            <w:r>
              <w:rPr>
                <w:rFonts w:ascii="Calibri" w:hAnsi="Calibri" w:cs="Calibri"/>
              </w:rPr>
              <w:t xml:space="preserve">in the final report. </w:t>
            </w:r>
          </w:p>
        </w:tc>
      </w:tr>
      <w:tr w:rsidR="00770CC3" w14:paraId="413553BF" w14:textId="77777777" w:rsidTr="00024201">
        <w:tc>
          <w:tcPr>
            <w:tcW w:w="5778" w:type="dxa"/>
            <w:tcBorders>
              <w:top w:val="single" w:sz="4" w:space="0" w:color="auto"/>
              <w:bottom w:val="single" w:sz="4" w:space="0" w:color="auto"/>
              <w:right w:val="single" w:sz="6" w:space="0" w:color="auto"/>
            </w:tcBorders>
          </w:tcPr>
          <w:p w14:paraId="105088D3" w14:textId="169EE2B3" w:rsidR="00770CC3" w:rsidRPr="00323833" w:rsidRDefault="00770CC3" w:rsidP="00770CC3">
            <w:pPr>
              <w:spacing w:before="0" w:after="0"/>
              <w:ind w:left="0"/>
              <w:rPr>
                <w:rFonts w:ascii="Calibri" w:hAnsi="Calibri" w:cs="Calibri"/>
              </w:rPr>
            </w:pPr>
            <w:r w:rsidRPr="00323833">
              <w:rPr>
                <w:rFonts w:ascii="Calibri" w:hAnsi="Calibri" w:cs="Calibri"/>
                <w:b/>
              </w:rPr>
              <w:t>Hospice:</w:t>
            </w:r>
            <w:r w:rsidRPr="00323833">
              <w:rPr>
                <w:rFonts w:ascii="Calibri" w:hAnsi="Calibri" w:cs="Calibri"/>
              </w:rPr>
              <w:t xml:space="preserve"> Is there a separate code for hospice if there is a PCP billing for the service? Judy confirmed that hospice was not included in the analysis, but may be captured under home visits. </w:t>
            </w:r>
          </w:p>
        </w:tc>
        <w:tc>
          <w:tcPr>
            <w:tcW w:w="4410" w:type="dxa"/>
            <w:tcBorders>
              <w:top w:val="single" w:sz="4" w:space="0" w:color="auto"/>
              <w:left w:val="single" w:sz="6" w:space="0" w:color="auto"/>
              <w:bottom w:val="single" w:sz="4" w:space="0" w:color="auto"/>
            </w:tcBorders>
          </w:tcPr>
          <w:p w14:paraId="7C9DBBA0" w14:textId="77F6A388" w:rsidR="00770CC3" w:rsidRPr="00956312" w:rsidRDefault="00770CC3" w:rsidP="00770CC3">
            <w:pPr>
              <w:spacing w:before="0" w:after="0"/>
              <w:ind w:left="0"/>
              <w:rPr>
                <w:rFonts w:ascii="Calibri" w:hAnsi="Calibri" w:cs="Calibri"/>
              </w:rPr>
            </w:pPr>
            <w:r w:rsidRPr="00323833">
              <w:rPr>
                <w:rFonts w:ascii="Calibri" w:hAnsi="Calibri" w:cs="Calibri"/>
              </w:rPr>
              <w:t xml:space="preserve">Lisa Harvey McPherson offered to </w:t>
            </w:r>
            <w:r>
              <w:rPr>
                <w:rFonts w:ascii="Calibri" w:hAnsi="Calibri" w:cs="Calibri"/>
              </w:rPr>
              <w:t xml:space="preserve">look into this question further and </w:t>
            </w:r>
            <w:r w:rsidRPr="005B3F8F">
              <w:rPr>
                <w:rFonts w:ascii="Calibri" w:hAnsi="Calibri" w:cs="Calibri"/>
              </w:rPr>
              <w:t xml:space="preserve">will provide hospice codes if they are not included under home visits. </w:t>
            </w:r>
          </w:p>
        </w:tc>
        <w:tc>
          <w:tcPr>
            <w:tcW w:w="4140" w:type="dxa"/>
            <w:tcBorders>
              <w:top w:val="single" w:sz="4" w:space="0" w:color="auto"/>
              <w:left w:val="single" w:sz="6" w:space="0" w:color="auto"/>
              <w:bottom w:val="single" w:sz="4" w:space="0" w:color="auto"/>
            </w:tcBorders>
          </w:tcPr>
          <w:p w14:paraId="4A33D313" w14:textId="1A128004" w:rsidR="00770CC3" w:rsidRDefault="00D57199" w:rsidP="00C6320D">
            <w:pPr>
              <w:spacing w:before="0" w:after="0"/>
              <w:ind w:left="0"/>
              <w:rPr>
                <w:rFonts w:ascii="Calibri" w:hAnsi="Calibri" w:cs="Calibri"/>
              </w:rPr>
            </w:pPr>
            <w:r>
              <w:rPr>
                <w:rFonts w:ascii="Calibri" w:hAnsi="Calibri" w:cs="Calibri"/>
              </w:rPr>
              <w:t xml:space="preserve">Staff confirmed that hospice services provided by PCPs </w:t>
            </w:r>
            <w:r w:rsidR="00C6320D">
              <w:rPr>
                <w:rFonts w:ascii="Calibri" w:hAnsi="Calibri" w:cs="Calibri"/>
              </w:rPr>
              <w:t xml:space="preserve">identified by Lisa Harvey McPherson had been </w:t>
            </w:r>
            <w:r>
              <w:rPr>
                <w:rFonts w:ascii="Calibri" w:hAnsi="Calibri" w:cs="Calibri"/>
              </w:rPr>
              <w:t>included</w:t>
            </w:r>
            <w:r w:rsidR="00C6320D">
              <w:rPr>
                <w:rFonts w:ascii="Calibri" w:hAnsi="Calibri" w:cs="Calibri"/>
              </w:rPr>
              <w:t xml:space="preserve"> in the code list and will clarify in </w:t>
            </w:r>
            <w:r>
              <w:rPr>
                <w:rFonts w:ascii="Calibri" w:hAnsi="Calibri" w:cs="Calibri"/>
              </w:rPr>
              <w:t xml:space="preserve">the final report. </w:t>
            </w:r>
          </w:p>
        </w:tc>
      </w:tr>
      <w:tr w:rsidR="00770CC3" w14:paraId="77D79980" w14:textId="77777777" w:rsidTr="00024201">
        <w:tc>
          <w:tcPr>
            <w:tcW w:w="5778" w:type="dxa"/>
            <w:tcBorders>
              <w:top w:val="single" w:sz="4" w:space="0" w:color="auto"/>
              <w:bottom w:val="single" w:sz="4" w:space="0" w:color="auto"/>
              <w:right w:val="single" w:sz="6" w:space="0" w:color="auto"/>
            </w:tcBorders>
          </w:tcPr>
          <w:p w14:paraId="146BFCF2" w14:textId="1E3EE3E6" w:rsidR="00770CC3" w:rsidRPr="00323833" w:rsidRDefault="00770CC3" w:rsidP="00C6320D">
            <w:pPr>
              <w:spacing w:before="0" w:after="0"/>
              <w:ind w:left="0"/>
              <w:rPr>
                <w:rFonts w:ascii="Calibri" w:hAnsi="Calibri" w:cs="Calibri"/>
              </w:rPr>
            </w:pPr>
            <w:r w:rsidRPr="00323833">
              <w:rPr>
                <w:rFonts w:ascii="Calibri" w:hAnsi="Calibri" w:cs="Calibri"/>
                <w:b/>
              </w:rPr>
              <w:lastRenderedPageBreak/>
              <w:t>Facility Fees</w:t>
            </w:r>
            <w:r w:rsidRPr="00323833">
              <w:rPr>
                <w:rFonts w:ascii="Calibri" w:hAnsi="Calibri" w:cs="Calibri"/>
              </w:rPr>
              <w:t xml:space="preserve">: Are the facility fees for the provider based reimbursement captured? Is cost based reimbursement the same as for the FQHCs and critical access hospitals? What about enhanced payments that come in through Medicaid for the medical homes? Judy confirmed that facility fees are captured but not alternative payment models. </w:t>
            </w:r>
          </w:p>
        </w:tc>
        <w:tc>
          <w:tcPr>
            <w:tcW w:w="4410" w:type="dxa"/>
            <w:tcBorders>
              <w:top w:val="single" w:sz="4" w:space="0" w:color="auto"/>
              <w:left w:val="single" w:sz="6" w:space="0" w:color="auto"/>
              <w:bottom w:val="single" w:sz="4" w:space="0" w:color="auto"/>
            </w:tcBorders>
          </w:tcPr>
          <w:p w14:paraId="6A0BF5E7" w14:textId="294B7D53" w:rsidR="00770CC3" w:rsidRDefault="00770CC3" w:rsidP="00770CC3">
            <w:pPr>
              <w:spacing w:before="0" w:after="0"/>
              <w:ind w:left="0"/>
              <w:rPr>
                <w:rFonts w:ascii="Calibri" w:hAnsi="Calibri" w:cs="Calibri"/>
              </w:rPr>
            </w:pPr>
            <w:r w:rsidRPr="00323833">
              <w:rPr>
                <w:rFonts w:ascii="Calibri" w:hAnsi="Calibri" w:cs="Calibri"/>
              </w:rPr>
              <w:t xml:space="preserve">Lisa Letourneau suggested breaking out the facility fees. Karynlee </w:t>
            </w:r>
            <w:r>
              <w:rPr>
                <w:rFonts w:ascii="Calibri" w:hAnsi="Calibri" w:cs="Calibri"/>
              </w:rPr>
              <w:t>confirmed</w:t>
            </w:r>
            <w:r w:rsidRPr="00323833">
              <w:rPr>
                <w:rFonts w:ascii="Calibri" w:hAnsi="Calibri" w:cs="Calibri"/>
              </w:rPr>
              <w:t xml:space="preserve"> that we can </w:t>
            </w:r>
            <w:r>
              <w:rPr>
                <w:rFonts w:ascii="Calibri" w:hAnsi="Calibri" w:cs="Calibri"/>
              </w:rPr>
              <w:t>differentiate facility versus</w:t>
            </w:r>
            <w:r w:rsidRPr="00323833">
              <w:rPr>
                <w:rFonts w:ascii="Calibri" w:hAnsi="Calibri" w:cs="Calibri"/>
              </w:rPr>
              <w:t xml:space="preserve"> professional fees</w:t>
            </w:r>
            <w:r>
              <w:rPr>
                <w:rFonts w:ascii="Calibri" w:hAnsi="Calibri" w:cs="Calibri"/>
              </w:rPr>
              <w:t xml:space="preserve"> in the claims data</w:t>
            </w:r>
            <w:r w:rsidRPr="00323833">
              <w:rPr>
                <w:rFonts w:ascii="Calibri" w:hAnsi="Calibri" w:cs="Calibri"/>
              </w:rPr>
              <w:t>.</w:t>
            </w:r>
            <w:r>
              <w:rPr>
                <w:rFonts w:ascii="Calibri" w:hAnsi="Calibri" w:cs="Calibri"/>
              </w:rPr>
              <w:t xml:space="preserve"> </w:t>
            </w:r>
          </w:p>
          <w:p w14:paraId="0DD3881D" w14:textId="2B640C95" w:rsidR="00770CC3" w:rsidRPr="00956312" w:rsidRDefault="00592973" w:rsidP="00C6320D">
            <w:pPr>
              <w:spacing w:before="0" w:after="0"/>
              <w:ind w:left="0"/>
              <w:rPr>
                <w:rFonts w:ascii="Calibri" w:hAnsi="Calibri" w:cs="Calibri"/>
              </w:rPr>
            </w:pPr>
            <w:r>
              <w:rPr>
                <w:rFonts w:ascii="Calibri" w:hAnsi="Calibri" w:cs="Calibri"/>
              </w:rPr>
              <w:t>A revised analysis</w:t>
            </w:r>
            <w:r w:rsidR="00C6320D">
              <w:rPr>
                <w:rFonts w:ascii="Calibri" w:hAnsi="Calibri" w:cs="Calibri"/>
              </w:rPr>
              <w:t xml:space="preserve"> will be run by professional/facility to assess whether to report these separately. </w:t>
            </w:r>
          </w:p>
        </w:tc>
        <w:tc>
          <w:tcPr>
            <w:tcW w:w="4140" w:type="dxa"/>
            <w:tcBorders>
              <w:top w:val="single" w:sz="4" w:space="0" w:color="auto"/>
              <w:left w:val="single" w:sz="6" w:space="0" w:color="auto"/>
              <w:bottom w:val="single" w:sz="4" w:space="0" w:color="auto"/>
            </w:tcBorders>
          </w:tcPr>
          <w:p w14:paraId="596AA1FD" w14:textId="74CD5860" w:rsidR="008E122F" w:rsidRDefault="00C6320D" w:rsidP="008E122F">
            <w:pPr>
              <w:spacing w:before="0" w:after="0"/>
              <w:ind w:left="0"/>
              <w:rPr>
                <w:rFonts w:ascii="Calibri" w:hAnsi="Calibri" w:cs="Calibri"/>
              </w:rPr>
            </w:pPr>
            <w:r>
              <w:rPr>
                <w:rFonts w:ascii="Calibri" w:hAnsi="Calibri" w:cs="Calibri"/>
              </w:rPr>
              <w:t xml:space="preserve"> </w:t>
            </w:r>
            <w:r w:rsidR="00781F92">
              <w:rPr>
                <w:rFonts w:ascii="Calibri" w:hAnsi="Calibri" w:cs="Calibri"/>
              </w:rPr>
              <w:t xml:space="preserve">An analysis of primary care costs by </w:t>
            </w:r>
            <w:r w:rsidR="00F06DCC" w:rsidRPr="00F06DCC">
              <w:rPr>
                <w:rFonts w:ascii="Calibri" w:hAnsi="Calibri" w:cs="Calibri"/>
              </w:rPr>
              <w:t>facility and professional</w:t>
            </w:r>
            <w:r w:rsidR="00F06DCC">
              <w:rPr>
                <w:rFonts w:ascii="Calibri" w:hAnsi="Calibri" w:cs="Calibri"/>
              </w:rPr>
              <w:t xml:space="preserve"> </w:t>
            </w:r>
            <w:r>
              <w:rPr>
                <w:rFonts w:ascii="Calibri" w:hAnsi="Calibri" w:cs="Calibri"/>
              </w:rPr>
              <w:t>fees</w:t>
            </w:r>
            <w:r w:rsidR="008E122F">
              <w:rPr>
                <w:rFonts w:ascii="Calibri" w:hAnsi="Calibri" w:cs="Calibri"/>
              </w:rPr>
              <w:t xml:space="preserve"> shows that most of the facility fees are going to FQHCs and RHCs</w:t>
            </w:r>
            <w:r w:rsidR="00781F92">
              <w:rPr>
                <w:rFonts w:ascii="Calibri" w:hAnsi="Calibri" w:cs="Calibri"/>
              </w:rPr>
              <w:t xml:space="preserve"> for Medicare and Medicaid</w:t>
            </w:r>
            <w:r w:rsidR="007C4CF6">
              <w:rPr>
                <w:rFonts w:ascii="Calibri" w:hAnsi="Calibri" w:cs="Calibri"/>
              </w:rPr>
              <w:t>, but is not a significant percentage</w:t>
            </w:r>
            <w:r w:rsidR="00781F92">
              <w:rPr>
                <w:rFonts w:ascii="Calibri" w:hAnsi="Calibri" w:cs="Calibri"/>
              </w:rPr>
              <w:t xml:space="preserve"> for Commercial</w:t>
            </w:r>
            <w:r w:rsidR="007C4CF6">
              <w:rPr>
                <w:rFonts w:ascii="Calibri" w:hAnsi="Calibri" w:cs="Calibri"/>
              </w:rPr>
              <w:t>.</w:t>
            </w:r>
          </w:p>
          <w:p w14:paraId="39D24EBA" w14:textId="77777777" w:rsidR="008E122F" w:rsidRDefault="008E122F" w:rsidP="008E122F">
            <w:pPr>
              <w:spacing w:before="0" w:after="0"/>
              <w:ind w:left="0"/>
              <w:rPr>
                <w:rFonts w:ascii="Calibri" w:hAnsi="Calibri" w:cs="Calibri"/>
              </w:rPr>
            </w:pPr>
          </w:p>
          <w:p w14:paraId="07197CDB" w14:textId="3296027C" w:rsidR="008E122F" w:rsidRDefault="008E122F">
            <w:pPr>
              <w:spacing w:before="0" w:after="0"/>
              <w:ind w:left="0"/>
              <w:rPr>
                <w:rFonts w:ascii="Calibri" w:hAnsi="Calibri" w:cs="Calibri"/>
              </w:rPr>
            </w:pPr>
            <w:r>
              <w:rPr>
                <w:rFonts w:ascii="Calibri" w:hAnsi="Calibri" w:cs="Calibri"/>
              </w:rPr>
              <w:t>Staff recommends including these fees as primary care and explaining</w:t>
            </w:r>
            <w:r w:rsidR="007C4CF6">
              <w:rPr>
                <w:rFonts w:ascii="Calibri" w:hAnsi="Calibri" w:cs="Calibri"/>
              </w:rPr>
              <w:t xml:space="preserve"> the decision </w:t>
            </w:r>
            <w:r w:rsidR="00FC0382">
              <w:rPr>
                <w:rFonts w:ascii="Calibri" w:hAnsi="Calibri" w:cs="Calibri"/>
              </w:rPr>
              <w:t xml:space="preserve">in </w:t>
            </w:r>
            <w:r>
              <w:rPr>
                <w:rFonts w:ascii="Calibri" w:hAnsi="Calibri" w:cs="Calibri"/>
              </w:rPr>
              <w:t xml:space="preserve">the final report.  </w:t>
            </w:r>
          </w:p>
        </w:tc>
      </w:tr>
      <w:tr w:rsidR="00770CC3" w14:paraId="5824CD90" w14:textId="77777777" w:rsidTr="00024201">
        <w:tc>
          <w:tcPr>
            <w:tcW w:w="5778" w:type="dxa"/>
            <w:tcBorders>
              <w:top w:val="single" w:sz="4" w:space="0" w:color="auto"/>
              <w:bottom w:val="single" w:sz="4" w:space="0" w:color="auto"/>
              <w:right w:val="single" w:sz="6" w:space="0" w:color="auto"/>
            </w:tcBorders>
          </w:tcPr>
          <w:p w14:paraId="4D5CA69B" w14:textId="51E8F943" w:rsidR="00770CC3" w:rsidRPr="00323833" w:rsidRDefault="00770CC3" w:rsidP="00770CC3">
            <w:pPr>
              <w:spacing w:before="0" w:after="0"/>
              <w:ind w:left="0"/>
              <w:rPr>
                <w:rFonts w:ascii="Calibri" w:hAnsi="Calibri" w:cs="Calibri"/>
              </w:rPr>
            </w:pPr>
            <w:r w:rsidRPr="00323833">
              <w:rPr>
                <w:rFonts w:ascii="Calibri" w:hAnsi="Calibri" w:cs="Calibri"/>
                <w:b/>
              </w:rPr>
              <w:t>Duals</w:t>
            </w:r>
            <w:r w:rsidRPr="00323833">
              <w:rPr>
                <w:rFonts w:ascii="Calibri" w:hAnsi="Calibri" w:cs="Calibri"/>
              </w:rPr>
              <w:t xml:space="preserve">: Do other states look at the data set for the dually eligible population? </w:t>
            </w:r>
          </w:p>
        </w:tc>
        <w:tc>
          <w:tcPr>
            <w:tcW w:w="4410" w:type="dxa"/>
            <w:tcBorders>
              <w:top w:val="single" w:sz="4" w:space="0" w:color="auto"/>
              <w:left w:val="single" w:sz="6" w:space="0" w:color="auto"/>
              <w:bottom w:val="single" w:sz="4" w:space="0" w:color="auto"/>
            </w:tcBorders>
          </w:tcPr>
          <w:p w14:paraId="76707361" w14:textId="63F7153C" w:rsidR="00770CC3" w:rsidRPr="00956312" w:rsidRDefault="00770CC3" w:rsidP="00770CC3">
            <w:pPr>
              <w:spacing w:before="0" w:after="0"/>
              <w:ind w:left="0"/>
              <w:rPr>
                <w:rFonts w:ascii="Calibri" w:hAnsi="Calibri" w:cs="Calibri"/>
              </w:rPr>
            </w:pPr>
            <w:r w:rsidRPr="00323833">
              <w:rPr>
                <w:rFonts w:ascii="Calibri" w:hAnsi="Calibri" w:cs="Calibri"/>
              </w:rPr>
              <w:t>Kim Fox did not recall any states or other reports separating out the dual population, but will confirm.</w:t>
            </w:r>
          </w:p>
        </w:tc>
        <w:tc>
          <w:tcPr>
            <w:tcW w:w="4140" w:type="dxa"/>
            <w:tcBorders>
              <w:top w:val="single" w:sz="4" w:space="0" w:color="auto"/>
              <w:left w:val="single" w:sz="6" w:space="0" w:color="auto"/>
              <w:bottom w:val="single" w:sz="4" w:space="0" w:color="auto"/>
            </w:tcBorders>
          </w:tcPr>
          <w:p w14:paraId="53073FBB" w14:textId="627997E7" w:rsidR="00770CC3" w:rsidRDefault="00FC0382" w:rsidP="00FC0382">
            <w:pPr>
              <w:spacing w:before="0" w:after="0"/>
              <w:ind w:left="0"/>
              <w:rPr>
                <w:rFonts w:ascii="Calibri" w:hAnsi="Calibri" w:cs="Calibri"/>
              </w:rPr>
            </w:pPr>
            <w:r>
              <w:rPr>
                <w:rFonts w:ascii="Calibri" w:hAnsi="Calibri" w:cs="Calibri"/>
              </w:rPr>
              <w:t xml:space="preserve">Staff recommends not separating out the dual population, which is in alignment with other states. </w:t>
            </w:r>
          </w:p>
        </w:tc>
      </w:tr>
      <w:tr w:rsidR="00770CC3" w14:paraId="7321BF21" w14:textId="77777777" w:rsidTr="00024201">
        <w:tc>
          <w:tcPr>
            <w:tcW w:w="5778" w:type="dxa"/>
            <w:tcBorders>
              <w:top w:val="single" w:sz="4" w:space="0" w:color="auto"/>
              <w:bottom w:val="single" w:sz="4" w:space="0" w:color="auto"/>
              <w:right w:val="single" w:sz="6" w:space="0" w:color="auto"/>
            </w:tcBorders>
          </w:tcPr>
          <w:p w14:paraId="093F8B3A" w14:textId="308FEE84" w:rsidR="00770CC3" w:rsidRPr="00323833" w:rsidRDefault="00770CC3" w:rsidP="00770CC3">
            <w:pPr>
              <w:spacing w:before="0" w:after="0"/>
              <w:ind w:left="0"/>
              <w:rPr>
                <w:rFonts w:ascii="Calibri" w:hAnsi="Calibri" w:cs="Calibri"/>
              </w:rPr>
            </w:pPr>
            <w:r w:rsidRPr="00323833">
              <w:rPr>
                <w:rFonts w:ascii="Calibri" w:hAnsi="Calibri" w:cs="Calibri"/>
                <w:b/>
              </w:rPr>
              <w:t>Occupational Health</w:t>
            </w:r>
            <w:r w:rsidRPr="00323833">
              <w:rPr>
                <w:rFonts w:ascii="Calibri" w:hAnsi="Calibri" w:cs="Calibri"/>
              </w:rPr>
              <w:t xml:space="preserve">: Is occupational health included without the worker’s comp? Some of these codes are billed through primary care and might appear in the commercial insurance. Karynlee confirmed that there are no worker’s comp claims in the APCD. </w:t>
            </w:r>
          </w:p>
        </w:tc>
        <w:tc>
          <w:tcPr>
            <w:tcW w:w="4410" w:type="dxa"/>
            <w:tcBorders>
              <w:top w:val="single" w:sz="4" w:space="0" w:color="auto"/>
              <w:left w:val="single" w:sz="6" w:space="0" w:color="auto"/>
              <w:bottom w:val="single" w:sz="4" w:space="0" w:color="auto"/>
            </w:tcBorders>
          </w:tcPr>
          <w:p w14:paraId="65CCF1B5" w14:textId="4EAC20A5" w:rsidR="00770CC3" w:rsidRPr="00956312" w:rsidRDefault="00770CC3" w:rsidP="00770CC3">
            <w:pPr>
              <w:spacing w:before="0" w:after="0"/>
              <w:ind w:left="0"/>
              <w:rPr>
                <w:rFonts w:ascii="Calibri" w:hAnsi="Calibri" w:cs="Calibri"/>
              </w:rPr>
            </w:pPr>
            <w:r>
              <w:rPr>
                <w:rFonts w:ascii="Calibri" w:hAnsi="Calibri" w:cs="Calibri"/>
              </w:rPr>
              <w:t>No additional action required</w:t>
            </w:r>
          </w:p>
        </w:tc>
        <w:tc>
          <w:tcPr>
            <w:tcW w:w="4140" w:type="dxa"/>
            <w:tcBorders>
              <w:top w:val="single" w:sz="4" w:space="0" w:color="auto"/>
              <w:left w:val="single" w:sz="6" w:space="0" w:color="auto"/>
              <w:bottom w:val="single" w:sz="4" w:space="0" w:color="auto"/>
            </w:tcBorders>
          </w:tcPr>
          <w:p w14:paraId="02618B18" w14:textId="77777777" w:rsidR="00770CC3" w:rsidRDefault="00770CC3" w:rsidP="00FC0382">
            <w:pPr>
              <w:spacing w:before="0" w:after="0"/>
              <w:ind w:left="0"/>
              <w:rPr>
                <w:rFonts w:ascii="Calibri" w:hAnsi="Calibri" w:cs="Calibri"/>
              </w:rPr>
            </w:pPr>
          </w:p>
        </w:tc>
      </w:tr>
      <w:tr w:rsidR="00770CC3" w14:paraId="525C8490" w14:textId="77777777" w:rsidTr="00024201">
        <w:tc>
          <w:tcPr>
            <w:tcW w:w="5778" w:type="dxa"/>
            <w:tcBorders>
              <w:top w:val="single" w:sz="4" w:space="0" w:color="auto"/>
              <w:bottom w:val="single" w:sz="4" w:space="0" w:color="auto"/>
              <w:right w:val="single" w:sz="6" w:space="0" w:color="auto"/>
            </w:tcBorders>
          </w:tcPr>
          <w:p w14:paraId="159991C6" w14:textId="4C11BE4C" w:rsidR="00770CC3" w:rsidRPr="00323833" w:rsidRDefault="00770CC3" w:rsidP="00770CC3">
            <w:pPr>
              <w:spacing w:before="0" w:after="0"/>
              <w:ind w:left="0"/>
              <w:rPr>
                <w:rFonts w:ascii="Calibri" w:hAnsi="Calibri" w:cs="Calibri"/>
              </w:rPr>
            </w:pPr>
            <w:r w:rsidRPr="00323833">
              <w:rPr>
                <w:rFonts w:ascii="Calibri" w:hAnsi="Calibri" w:cs="Calibri"/>
                <w:b/>
              </w:rPr>
              <w:t>Charity/free care:</w:t>
            </w:r>
            <w:r w:rsidRPr="00323833">
              <w:rPr>
                <w:rFonts w:ascii="Calibri" w:hAnsi="Calibri" w:cs="Calibri"/>
              </w:rPr>
              <w:t xml:space="preserve"> Is charity or free care included? Is there a way to capture the value of that? Karynlee said that this analysis is just capturing what was spent, so that wouldn’t be included. </w:t>
            </w:r>
          </w:p>
        </w:tc>
        <w:tc>
          <w:tcPr>
            <w:tcW w:w="4410" w:type="dxa"/>
            <w:tcBorders>
              <w:top w:val="single" w:sz="4" w:space="0" w:color="auto"/>
              <w:left w:val="single" w:sz="6" w:space="0" w:color="auto"/>
              <w:bottom w:val="single" w:sz="4" w:space="0" w:color="auto"/>
            </w:tcBorders>
          </w:tcPr>
          <w:p w14:paraId="3F7A0DC1" w14:textId="466270AE" w:rsidR="00770CC3" w:rsidRPr="00956312" w:rsidRDefault="00770CC3" w:rsidP="00770CC3">
            <w:pPr>
              <w:spacing w:before="0" w:after="0"/>
              <w:ind w:left="0"/>
              <w:rPr>
                <w:rFonts w:ascii="Calibri" w:hAnsi="Calibri" w:cs="Calibri"/>
              </w:rPr>
            </w:pPr>
            <w:r>
              <w:rPr>
                <w:rFonts w:ascii="Calibri" w:hAnsi="Calibri" w:cs="Calibri"/>
              </w:rPr>
              <w:t>No additional action required</w:t>
            </w:r>
          </w:p>
        </w:tc>
        <w:tc>
          <w:tcPr>
            <w:tcW w:w="4140" w:type="dxa"/>
            <w:tcBorders>
              <w:top w:val="single" w:sz="4" w:space="0" w:color="auto"/>
              <w:left w:val="single" w:sz="6" w:space="0" w:color="auto"/>
              <w:bottom w:val="single" w:sz="4" w:space="0" w:color="auto"/>
            </w:tcBorders>
          </w:tcPr>
          <w:p w14:paraId="486E8120" w14:textId="77777777" w:rsidR="00770CC3" w:rsidRDefault="00770CC3" w:rsidP="00770CC3">
            <w:pPr>
              <w:spacing w:before="0" w:after="0"/>
              <w:rPr>
                <w:rFonts w:ascii="Calibri" w:hAnsi="Calibri" w:cs="Calibri"/>
              </w:rPr>
            </w:pPr>
          </w:p>
        </w:tc>
      </w:tr>
    </w:tbl>
    <w:p w14:paraId="1B5201B4" w14:textId="67738030" w:rsidR="00951F5F" w:rsidRPr="002460C6" w:rsidRDefault="00024201" w:rsidP="00024201">
      <w:pPr>
        <w:tabs>
          <w:tab w:val="left" w:pos="10740"/>
        </w:tabs>
        <w:ind w:left="0"/>
        <w:rPr>
          <w:rFonts w:ascii="Calibri" w:hAnsi="Calibri" w:cs="Calibri"/>
        </w:rPr>
      </w:pPr>
      <w:r>
        <w:rPr>
          <w:rFonts w:ascii="Calibri" w:hAnsi="Calibri" w:cs="Calibri"/>
        </w:rPr>
        <w:tab/>
      </w:r>
    </w:p>
    <w:sectPr w:rsidR="00951F5F" w:rsidRPr="002460C6" w:rsidSect="00024201">
      <w:type w:val="continuous"/>
      <w:pgSz w:w="15840" w:h="12240" w:orient="landscape"/>
      <w:pgMar w:top="576"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236DE" w14:textId="77777777" w:rsidR="008953A6" w:rsidRDefault="008953A6">
      <w:pPr>
        <w:spacing w:after="0"/>
      </w:pPr>
      <w:r>
        <w:separator/>
      </w:r>
    </w:p>
  </w:endnote>
  <w:endnote w:type="continuationSeparator" w:id="0">
    <w:p w14:paraId="6085C791" w14:textId="77777777" w:rsidR="008953A6" w:rsidRDefault="008953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A38E" w14:textId="77777777" w:rsidR="00212312" w:rsidRDefault="00212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7209"/>
      <w:gridCol w:w="7191"/>
    </w:tblGrid>
    <w:tr w:rsidR="00942F7E" w14:paraId="03DA941F" w14:textId="77777777" w:rsidTr="008D4FFA">
      <w:trPr>
        <w:trHeight w:hRule="exact" w:val="115"/>
        <w:jc w:val="center"/>
      </w:trPr>
      <w:tc>
        <w:tcPr>
          <w:tcW w:w="4686" w:type="dxa"/>
          <w:shd w:val="clear" w:color="auto" w:fill="F07F09" w:themeFill="accent1"/>
          <w:tcMar>
            <w:top w:w="0" w:type="dxa"/>
            <w:bottom w:w="0" w:type="dxa"/>
          </w:tcMar>
        </w:tcPr>
        <w:p w14:paraId="14C3C111" w14:textId="77777777" w:rsidR="00942F7E" w:rsidRDefault="00942F7E" w:rsidP="00942F7E">
          <w:pPr>
            <w:pStyle w:val="Header"/>
            <w:rPr>
              <w:caps/>
              <w:sz w:val="18"/>
            </w:rPr>
          </w:pPr>
          <w:r>
            <w:rPr>
              <w:caps/>
              <w:sz w:val="18"/>
            </w:rPr>
            <w:t>Maine</w:t>
          </w:r>
        </w:p>
      </w:tc>
      <w:tc>
        <w:tcPr>
          <w:tcW w:w="4674" w:type="dxa"/>
          <w:shd w:val="clear" w:color="auto" w:fill="F07F09" w:themeFill="accent1"/>
          <w:tcMar>
            <w:top w:w="0" w:type="dxa"/>
            <w:bottom w:w="0" w:type="dxa"/>
          </w:tcMar>
        </w:tcPr>
        <w:p w14:paraId="34D25383" w14:textId="77777777" w:rsidR="00942F7E" w:rsidRDefault="00942F7E" w:rsidP="00942F7E">
          <w:pPr>
            <w:pStyle w:val="Header"/>
            <w:jc w:val="right"/>
            <w:rPr>
              <w:caps/>
              <w:sz w:val="18"/>
            </w:rPr>
          </w:pPr>
        </w:p>
      </w:tc>
    </w:tr>
    <w:tr w:rsidR="00942F7E" w14:paraId="4B12812B" w14:textId="77777777" w:rsidTr="008D4FFA">
      <w:trPr>
        <w:jc w:val="center"/>
      </w:trPr>
      <w:tc>
        <w:tcPr>
          <w:tcW w:w="4686" w:type="dxa"/>
          <w:shd w:val="clear" w:color="auto" w:fill="auto"/>
          <w:vAlign w:val="center"/>
        </w:tcPr>
        <w:p w14:paraId="73712055" w14:textId="0808ADAF" w:rsidR="00942F7E" w:rsidRPr="00942F7E" w:rsidRDefault="00942F7E" w:rsidP="00942F7E">
          <w:pPr>
            <w:pStyle w:val="Footer"/>
            <w:jc w:val="left"/>
            <w:rPr>
              <w:caps/>
              <w:color w:val="0070C0"/>
              <w:sz w:val="18"/>
              <w:szCs w:val="18"/>
            </w:rPr>
          </w:pPr>
          <w:r>
            <w:rPr>
              <w:caps/>
              <w:color w:val="0070C0"/>
              <w:sz w:val="18"/>
              <w:szCs w:val="18"/>
            </w:rPr>
            <w:t>Maine Quality forum</w:t>
          </w:r>
          <w:r w:rsidR="00592973">
            <w:rPr>
              <w:caps/>
              <w:color w:val="0070C0"/>
              <w:sz w:val="18"/>
              <w:szCs w:val="18"/>
            </w:rPr>
            <w:t>-Working Document</w:t>
          </w:r>
        </w:p>
      </w:tc>
      <w:tc>
        <w:tcPr>
          <w:tcW w:w="4674" w:type="dxa"/>
          <w:shd w:val="clear" w:color="auto" w:fill="auto"/>
          <w:vAlign w:val="center"/>
        </w:tcPr>
        <w:p w14:paraId="55F24A20" w14:textId="3941FA72" w:rsidR="00942F7E" w:rsidRDefault="00942F7E" w:rsidP="00942F7E">
          <w:pPr>
            <w:pStyle w:val="Footer"/>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12312">
            <w:rPr>
              <w:caps/>
              <w:noProof/>
              <w:color w:val="808080" w:themeColor="background1" w:themeShade="80"/>
              <w:sz w:val="18"/>
              <w:szCs w:val="18"/>
            </w:rPr>
            <w:t>2</w:t>
          </w:r>
          <w:r>
            <w:rPr>
              <w:caps/>
              <w:noProof/>
              <w:color w:val="808080" w:themeColor="background1" w:themeShade="80"/>
              <w:sz w:val="18"/>
              <w:szCs w:val="18"/>
            </w:rPr>
            <w:fldChar w:fldCharType="end"/>
          </w:r>
        </w:p>
      </w:tc>
    </w:tr>
  </w:tbl>
  <w:p w14:paraId="1FF23CC5" w14:textId="77777777" w:rsidR="00CB50F2" w:rsidRPr="00942F7E" w:rsidRDefault="00CB50F2" w:rsidP="00942F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7209"/>
      <w:gridCol w:w="7191"/>
    </w:tblGrid>
    <w:tr w:rsidR="00942F7E" w14:paraId="0152CE1C" w14:textId="77777777">
      <w:trPr>
        <w:trHeight w:hRule="exact" w:val="115"/>
        <w:jc w:val="center"/>
      </w:trPr>
      <w:tc>
        <w:tcPr>
          <w:tcW w:w="4686" w:type="dxa"/>
          <w:shd w:val="clear" w:color="auto" w:fill="F07F09" w:themeFill="accent1"/>
          <w:tcMar>
            <w:top w:w="0" w:type="dxa"/>
            <w:bottom w:w="0" w:type="dxa"/>
          </w:tcMar>
        </w:tcPr>
        <w:p w14:paraId="6D6987E4" w14:textId="77777777" w:rsidR="00942F7E" w:rsidRDefault="00942F7E">
          <w:pPr>
            <w:pStyle w:val="Header"/>
            <w:rPr>
              <w:caps/>
              <w:sz w:val="18"/>
            </w:rPr>
          </w:pPr>
          <w:r>
            <w:rPr>
              <w:caps/>
              <w:sz w:val="18"/>
            </w:rPr>
            <w:t>Maine</w:t>
          </w:r>
        </w:p>
      </w:tc>
      <w:tc>
        <w:tcPr>
          <w:tcW w:w="4674" w:type="dxa"/>
          <w:shd w:val="clear" w:color="auto" w:fill="F07F09" w:themeFill="accent1"/>
          <w:tcMar>
            <w:top w:w="0" w:type="dxa"/>
            <w:bottom w:w="0" w:type="dxa"/>
          </w:tcMar>
        </w:tcPr>
        <w:p w14:paraId="048F1CDC" w14:textId="77777777" w:rsidR="00942F7E" w:rsidRDefault="00942F7E">
          <w:pPr>
            <w:pStyle w:val="Header"/>
            <w:jc w:val="right"/>
            <w:rPr>
              <w:caps/>
              <w:sz w:val="18"/>
            </w:rPr>
          </w:pPr>
        </w:p>
      </w:tc>
    </w:tr>
    <w:tr w:rsidR="00942F7E" w14:paraId="4D2E52EA" w14:textId="77777777">
      <w:trPr>
        <w:jc w:val="center"/>
      </w:trPr>
      <w:tc>
        <w:tcPr>
          <w:tcW w:w="4686" w:type="dxa"/>
          <w:shd w:val="clear" w:color="auto" w:fill="auto"/>
          <w:vAlign w:val="center"/>
        </w:tcPr>
        <w:p w14:paraId="60B9C5C3" w14:textId="3404DF46" w:rsidR="00942F7E" w:rsidRPr="00942F7E" w:rsidRDefault="00942F7E" w:rsidP="00942F7E">
          <w:pPr>
            <w:pStyle w:val="Footer"/>
            <w:jc w:val="left"/>
            <w:rPr>
              <w:caps/>
              <w:color w:val="0070C0"/>
              <w:sz w:val="18"/>
              <w:szCs w:val="18"/>
            </w:rPr>
          </w:pPr>
          <w:r>
            <w:rPr>
              <w:caps/>
              <w:color w:val="0070C0"/>
              <w:sz w:val="18"/>
              <w:szCs w:val="18"/>
            </w:rPr>
            <w:t>Maine Quality forum</w:t>
          </w:r>
          <w:r w:rsidR="00212312">
            <w:rPr>
              <w:caps/>
              <w:color w:val="0070C0"/>
              <w:sz w:val="18"/>
              <w:szCs w:val="18"/>
            </w:rPr>
            <w:t>-Working Document</w:t>
          </w:r>
        </w:p>
      </w:tc>
      <w:tc>
        <w:tcPr>
          <w:tcW w:w="4674" w:type="dxa"/>
          <w:shd w:val="clear" w:color="auto" w:fill="auto"/>
          <w:vAlign w:val="center"/>
        </w:tcPr>
        <w:p w14:paraId="51E4AF85" w14:textId="4CE9C316" w:rsidR="00942F7E" w:rsidRDefault="00942F7E">
          <w:pPr>
            <w:pStyle w:val="Footer"/>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12312">
            <w:rPr>
              <w:caps/>
              <w:noProof/>
              <w:color w:val="808080" w:themeColor="background1" w:themeShade="80"/>
              <w:sz w:val="18"/>
              <w:szCs w:val="18"/>
            </w:rPr>
            <w:t>1</w:t>
          </w:r>
          <w:r>
            <w:rPr>
              <w:caps/>
              <w:noProof/>
              <w:color w:val="808080" w:themeColor="background1" w:themeShade="80"/>
              <w:sz w:val="18"/>
              <w:szCs w:val="18"/>
            </w:rPr>
            <w:fldChar w:fldCharType="end"/>
          </w:r>
        </w:p>
      </w:tc>
    </w:tr>
  </w:tbl>
  <w:p w14:paraId="052FAD6F" w14:textId="77777777" w:rsidR="006108E9" w:rsidRDefault="00610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122C" w14:textId="77777777" w:rsidR="008953A6" w:rsidRDefault="008953A6">
      <w:pPr>
        <w:spacing w:after="0"/>
      </w:pPr>
      <w:r>
        <w:separator/>
      </w:r>
    </w:p>
  </w:footnote>
  <w:footnote w:type="continuationSeparator" w:id="0">
    <w:p w14:paraId="48514E75" w14:textId="77777777" w:rsidR="008953A6" w:rsidRDefault="008953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A91B7" w14:textId="77777777" w:rsidR="00212312" w:rsidRDefault="00212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0F69" w14:textId="77777777" w:rsidR="00212312" w:rsidRDefault="00212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111049"/>
      <w:docPartObj>
        <w:docPartGallery w:val="Watermarks"/>
        <w:docPartUnique/>
      </w:docPartObj>
    </w:sdtPr>
    <w:sdtEndPr/>
    <w:sdtContent>
      <w:p w14:paraId="2E9A1AC1" w14:textId="74E261DC" w:rsidR="00824B4D" w:rsidRDefault="000D11C5">
        <w:pPr>
          <w:pStyle w:val="Header"/>
        </w:pPr>
        <w:r>
          <w:rPr>
            <w:noProof/>
          </w:rPr>
          <w:pict w14:anchorId="76D74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BE73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477DC"/>
    <w:multiLevelType w:val="hybridMultilevel"/>
    <w:tmpl w:val="EADEEBB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0E63170A"/>
    <w:multiLevelType w:val="hybridMultilevel"/>
    <w:tmpl w:val="138E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514A42"/>
    <w:multiLevelType w:val="hybridMultilevel"/>
    <w:tmpl w:val="36165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185E8D"/>
    <w:multiLevelType w:val="hybridMultilevel"/>
    <w:tmpl w:val="C206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235FA"/>
    <w:multiLevelType w:val="hybridMultilevel"/>
    <w:tmpl w:val="0470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5602D"/>
    <w:multiLevelType w:val="hybridMultilevel"/>
    <w:tmpl w:val="F1B4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B2B8C"/>
    <w:multiLevelType w:val="hybridMultilevel"/>
    <w:tmpl w:val="C096BF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946BF4"/>
    <w:multiLevelType w:val="hybridMultilevel"/>
    <w:tmpl w:val="58CC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C76E1"/>
    <w:multiLevelType w:val="hybridMultilevel"/>
    <w:tmpl w:val="E4FA10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E3D46"/>
    <w:multiLevelType w:val="hybridMultilevel"/>
    <w:tmpl w:val="C930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10CC6"/>
    <w:multiLevelType w:val="hybridMultilevel"/>
    <w:tmpl w:val="69DC74D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47A54155"/>
    <w:multiLevelType w:val="hybridMultilevel"/>
    <w:tmpl w:val="308AA3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4B106EFD"/>
    <w:multiLevelType w:val="hybridMultilevel"/>
    <w:tmpl w:val="4A66B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8906E8"/>
    <w:multiLevelType w:val="hybridMultilevel"/>
    <w:tmpl w:val="12A6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76C93"/>
    <w:multiLevelType w:val="hybridMultilevel"/>
    <w:tmpl w:val="3838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14350"/>
    <w:multiLevelType w:val="hybridMultilevel"/>
    <w:tmpl w:val="0E08AC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CAE78FE"/>
    <w:multiLevelType w:val="hybridMultilevel"/>
    <w:tmpl w:val="8FBA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0"/>
  </w:num>
  <w:num w:numId="13">
    <w:abstractNumId w:val="13"/>
  </w:num>
  <w:num w:numId="14">
    <w:abstractNumId w:val="11"/>
  </w:num>
  <w:num w:numId="15">
    <w:abstractNumId w:val="14"/>
  </w:num>
  <w:num w:numId="16">
    <w:abstractNumId w:val="12"/>
  </w:num>
  <w:num w:numId="17">
    <w:abstractNumId w:val="19"/>
  </w:num>
  <w:num w:numId="18">
    <w:abstractNumId w:val="16"/>
  </w:num>
  <w:num w:numId="19">
    <w:abstractNumId w:val="21"/>
  </w:num>
  <w:num w:numId="20">
    <w:abstractNumId w:val="23"/>
  </w:num>
  <w:num w:numId="21">
    <w:abstractNumId w:val="22"/>
  </w:num>
  <w:num w:numId="22">
    <w:abstractNumId w:val="18"/>
  </w:num>
  <w:num w:numId="23">
    <w:abstractNumId w:val="17"/>
  </w:num>
  <w:num w:numId="24">
    <w:abstractNumId w:val="25"/>
  </w:num>
  <w:num w:numId="25">
    <w:abstractNumId w:val="15"/>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C6"/>
    <w:rsid w:val="000229A1"/>
    <w:rsid w:val="00024201"/>
    <w:rsid w:val="0004600F"/>
    <w:rsid w:val="00056393"/>
    <w:rsid w:val="00070820"/>
    <w:rsid w:val="00085438"/>
    <w:rsid w:val="000945B6"/>
    <w:rsid w:val="000A0858"/>
    <w:rsid w:val="000D11C5"/>
    <w:rsid w:val="000D2D7F"/>
    <w:rsid w:val="001003AA"/>
    <w:rsid w:val="001005E5"/>
    <w:rsid w:val="0010070B"/>
    <w:rsid w:val="00107A25"/>
    <w:rsid w:val="001118FD"/>
    <w:rsid w:val="00121D78"/>
    <w:rsid w:val="00123C3B"/>
    <w:rsid w:val="00136B64"/>
    <w:rsid w:val="00152CC8"/>
    <w:rsid w:val="0017681F"/>
    <w:rsid w:val="00182C26"/>
    <w:rsid w:val="001B7CF2"/>
    <w:rsid w:val="001C4546"/>
    <w:rsid w:val="001E6AAE"/>
    <w:rsid w:val="001F0370"/>
    <w:rsid w:val="001F2479"/>
    <w:rsid w:val="001F46C1"/>
    <w:rsid w:val="00212312"/>
    <w:rsid w:val="00213D08"/>
    <w:rsid w:val="00233013"/>
    <w:rsid w:val="00233BF6"/>
    <w:rsid w:val="002460C6"/>
    <w:rsid w:val="0025394B"/>
    <w:rsid w:val="00270BC4"/>
    <w:rsid w:val="00277BC2"/>
    <w:rsid w:val="002851E1"/>
    <w:rsid w:val="00293AF1"/>
    <w:rsid w:val="002B135B"/>
    <w:rsid w:val="002B6C94"/>
    <w:rsid w:val="002D4FB3"/>
    <w:rsid w:val="002E7469"/>
    <w:rsid w:val="002F146D"/>
    <w:rsid w:val="002F36E0"/>
    <w:rsid w:val="002F4ABE"/>
    <w:rsid w:val="00320721"/>
    <w:rsid w:val="00323833"/>
    <w:rsid w:val="00337367"/>
    <w:rsid w:val="0037002F"/>
    <w:rsid w:val="00371BC6"/>
    <w:rsid w:val="003757AE"/>
    <w:rsid w:val="0037765F"/>
    <w:rsid w:val="0038303A"/>
    <w:rsid w:val="00384B44"/>
    <w:rsid w:val="003B1BCE"/>
    <w:rsid w:val="003B28EF"/>
    <w:rsid w:val="003C1B81"/>
    <w:rsid w:val="003C6B6C"/>
    <w:rsid w:val="003E2E06"/>
    <w:rsid w:val="003E7210"/>
    <w:rsid w:val="003F6199"/>
    <w:rsid w:val="004119F1"/>
    <w:rsid w:val="0041439B"/>
    <w:rsid w:val="004242C6"/>
    <w:rsid w:val="0042526F"/>
    <w:rsid w:val="00430133"/>
    <w:rsid w:val="00434825"/>
    <w:rsid w:val="00444D8F"/>
    <w:rsid w:val="0046679D"/>
    <w:rsid w:val="00487319"/>
    <w:rsid w:val="00497682"/>
    <w:rsid w:val="0052642B"/>
    <w:rsid w:val="00557792"/>
    <w:rsid w:val="005627BC"/>
    <w:rsid w:val="00565298"/>
    <w:rsid w:val="00591C6C"/>
    <w:rsid w:val="00592973"/>
    <w:rsid w:val="00593C07"/>
    <w:rsid w:val="005B3F8F"/>
    <w:rsid w:val="005B6492"/>
    <w:rsid w:val="005E0482"/>
    <w:rsid w:val="005E7D19"/>
    <w:rsid w:val="00607CC4"/>
    <w:rsid w:val="006108E9"/>
    <w:rsid w:val="0066086F"/>
    <w:rsid w:val="00667DD0"/>
    <w:rsid w:val="00672A6F"/>
    <w:rsid w:val="006810A3"/>
    <w:rsid w:val="006928B4"/>
    <w:rsid w:val="00692C1D"/>
    <w:rsid w:val="00695B3A"/>
    <w:rsid w:val="006A07C5"/>
    <w:rsid w:val="006A17E2"/>
    <w:rsid w:val="006A38C2"/>
    <w:rsid w:val="006A5974"/>
    <w:rsid w:val="006C4C8D"/>
    <w:rsid w:val="006D571F"/>
    <w:rsid w:val="006D7007"/>
    <w:rsid w:val="006F5A3F"/>
    <w:rsid w:val="00714174"/>
    <w:rsid w:val="0072075E"/>
    <w:rsid w:val="007218E7"/>
    <w:rsid w:val="007253CC"/>
    <w:rsid w:val="00743535"/>
    <w:rsid w:val="00761258"/>
    <w:rsid w:val="00770CC3"/>
    <w:rsid w:val="00781F92"/>
    <w:rsid w:val="007852C7"/>
    <w:rsid w:val="007B6409"/>
    <w:rsid w:val="007C3A63"/>
    <w:rsid w:val="007C4CF6"/>
    <w:rsid w:val="007D5A53"/>
    <w:rsid w:val="007E1E85"/>
    <w:rsid w:val="007E5B16"/>
    <w:rsid w:val="00800A56"/>
    <w:rsid w:val="00823674"/>
    <w:rsid w:val="00824B4D"/>
    <w:rsid w:val="008431CB"/>
    <w:rsid w:val="00855239"/>
    <w:rsid w:val="008646BE"/>
    <w:rsid w:val="00875B6B"/>
    <w:rsid w:val="00881761"/>
    <w:rsid w:val="008953A6"/>
    <w:rsid w:val="008E122F"/>
    <w:rsid w:val="008E2FAF"/>
    <w:rsid w:val="00916C17"/>
    <w:rsid w:val="009301C8"/>
    <w:rsid w:val="0093449B"/>
    <w:rsid w:val="0093751C"/>
    <w:rsid w:val="00942F7E"/>
    <w:rsid w:val="00950247"/>
    <w:rsid w:val="00951F5F"/>
    <w:rsid w:val="00956312"/>
    <w:rsid w:val="0096456A"/>
    <w:rsid w:val="0096659B"/>
    <w:rsid w:val="00983117"/>
    <w:rsid w:val="00990706"/>
    <w:rsid w:val="009916AE"/>
    <w:rsid w:val="009B7308"/>
    <w:rsid w:val="009B7AD0"/>
    <w:rsid w:val="009C303C"/>
    <w:rsid w:val="00A26FFA"/>
    <w:rsid w:val="00A4553C"/>
    <w:rsid w:val="00A70884"/>
    <w:rsid w:val="00A73BCF"/>
    <w:rsid w:val="00A979E1"/>
    <w:rsid w:val="00AE5484"/>
    <w:rsid w:val="00AF11FD"/>
    <w:rsid w:val="00B15453"/>
    <w:rsid w:val="00B25BAC"/>
    <w:rsid w:val="00B30E51"/>
    <w:rsid w:val="00B45E12"/>
    <w:rsid w:val="00BA2E9D"/>
    <w:rsid w:val="00BC3904"/>
    <w:rsid w:val="00BF5395"/>
    <w:rsid w:val="00C02571"/>
    <w:rsid w:val="00C12B45"/>
    <w:rsid w:val="00C434FF"/>
    <w:rsid w:val="00C50003"/>
    <w:rsid w:val="00C54085"/>
    <w:rsid w:val="00C60141"/>
    <w:rsid w:val="00C6320D"/>
    <w:rsid w:val="00C762C6"/>
    <w:rsid w:val="00C9013A"/>
    <w:rsid w:val="00C924E5"/>
    <w:rsid w:val="00C94DC8"/>
    <w:rsid w:val="00CA534D"/>
    <w:rsid w:val="00CB50F2"/>
    <w:rsid w:val="00CB7304"/>
    <w:rsid w:val="00CE752E"/>
    <w:rsid w:val="00CF24DC"/>
    <w:rsid w:val="00CF5C61"/>
    <w:rsid w:val="00D06239"/>
    <w:rsid w:val="00D30F07"/>
    <w:rsid w:val="00D4287F"/>
    <w:rsid w:val="00D57199"/>
    <w:rsid w:val="00D6466C"/>
    <w:rsid w:val="00D70467"/>
    <w:rsid w:val="00D87B3A"/>
    <w:rsid w:val="00D90A37"/>
    <w:rsid w:val="00DC2307"/>
    <w:rsid w:val="00DD0772"/>
    <w:rsid w:val="00DF4B63"/>
    <w:rsid w:val="00E132F9"/>
    <w:rsid w:val="00E228E0"/>
    <w:rsid w:val="00E4568B"/>
    <w:rsid w:val="00E51382"/>
    <w:rsid w:val="00E52810"/>
    <w:rsid w:val="00E70F21"/>
    <w:rsid w:val="00E809DD"/>
    <w:rsid w:val="00E87494"/>
    <w:rsid w:val="00EA1546"/>
    <w:rsid w:val="00EB205A"/>
    <w:rsid w:val="00EB43FE"/>
    <w:rsid w:val="00EC55E2"/>
    <w:rsid w:val="00ED2199"/>
    <w:rsid w:val="00EE1DDE"/>
    <w:rsid w:val="00F06DCC"/>
    <w:rsid w:val="00F32BF8"/>
    <w:rsid w:val="00F45ED3"/>
    <w:rsid w:val="00F560A1"/>
    <w:rsid w:val="00F6547C"/>
    <w:rsid w:val="00F83CD4"/>
    <w:rsid w:val="00FC0382"/>
    <w:rsid w:val="00FC130B"/>
    <w:rsid w:val="00FC60A8"/>
    <w:rsid w:val="00FD16F4"/>
    <w:rsid w:val="00FD64D8"/>
    <w:rsid w:val="00FD76BE"/>
    <w:rsid w:val="00FE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76F953"/>
  <w15:chartTrackingRefBased/>
  <w15:docId w15:val="{939FAA6A-DDB0-4B31-B7C4-B0BF0998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40"/>
        <w:ind w:left="72"/>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0"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F21"/>
    <w:rPr>
      <w:spacing w:val="4"/>
    </w:rPr>
  </w:style>
  <w:style w:type="paragraph" w:styleId="Heading1">
    <w:name w:val="heading 1"/>
    <w:basedOn w:val="Normal"/>
    <w:link w:val="Heading1Char"/>
    <w:uiPriority w:val="9"/>
    <w:qFormat/>
    <w:rsid w:val="00CB50F2"/>
    <w:pPr>
      <w:keepNext/>
      <w:keepLines/>
      <w:spacing w:before="240" w:after="0"/>
      <w:outlineLvl w:val="0"/>
    </w:pPr>
    <w:rPr>
      <w:rFonts w:asciiTheme="majorHAnsi" w:eastAsiaTheme="majorEastAsia" w:hAnsiTheme="majorHAnsi" w:cstheme="majorBidi"/>
      <w:b/>
      <w:bCs/>
      <w:caps/>
      <w:color w:val="1B587C" w:themeColor="accent3"/>
      <w:spacing w:val="0"/>
      <w:sz w:val="26"/>
      <w:szCs w:val="26"/>
      <w:lang w:eastAsia="ja-JP"/>
    </w:rPr>
  </w:style>
  <w:style w:type="paragraph" w:styleId="Heading2">
    <w:name w:val="heading 2"/>
    <w:basedOn w:val="Normal"/>
    <w:link w:val="Heading2Char"/>
    <w:uiPriority w:val="9"/>
    <w:unhideWhenUsed/>
    <w:qFormat/>
    <w:rsid w:val="00E70F21"/>
    <w:pPr>
      <w:keepNext/>
      <w:keepLines/>
      <w:pBdr>
        <w:top w:val="single" w:sz="4" w:space="1" w:color="1B587C" w:themeColor="accent3"/>
      </w:pBdr>
      <w:spacing w:before="360" w:after="160"/>
      <w:contextualSpacing/>
      <w:outlineLvl w:val="1"/>
    </w:pPr>
    <w:rPr>
      <w:rFonts w:asciiTheme="majorHAnsi" w:eastAsiaTheme="majorEastAsia" w:hAnsiTheme="majorHAnsi" w:cstheme="majorBidi"/>
      <w:bCs/>
      <w:color w:val="9F2936" w:themeColor="accent2"/>
      <w:spacing w:val="15"/>
      <w:szCs w:val="21"/>
      <w:lang w:eastAsia="ja-JP"/>
    </w:rPr>
  </w:style>
  <w:style w:type="paragraph" w:styleId="Heading3">
    <w:name w:val="heading 3"/>
    <w:basedOn w:val="Normal"/>
    <w:link w:val="Heading3Char"/>
    <w:uiPriority w:val="9"/>
    <w:unhideWhenUsed/>
    <w:qFormat/>
    <w:rsid w:val="00E70F21"/>
    <w:pPr>
      <w:keepNext/>
      <w:keepLines/>
      <w:spacing w:after="0"/>
      <w:contextualSpacing/>
      <w:outlineLvl w:val="2"/>
    </w:pPr>
    <w:rPr>
      <w:rFonts w:asciiTheme="majorHAnsi" w:eastAsiaTheme="majorEastAsia" w:hAnsiTheme="majorHAnsi" w:cstheme="majorBidi"/>
      <w:color w:val="B35E06" w:themeColor="accent1" w:themeShade="BF"/>
      <w:spacing w:val="0"/>
      <w:szCs w:val="24"/>
    </w:rPr>
  </w:style>
  <w:style w:type="paragraph" w:styleId="Heading4">
    <w:name w:val="heading 4"/>
    <w:basedOn w:val="Normal"/>
    <w:next w:val="Normal"/>
    <w:link w:val="Heading4Char"/>
    <w:uiPriority w:val="9"/>
    <w:semiHidden/>
    <w:unhideWhenUsed/>
    <w:qFormat/>
    <w:rsid w:val="00E70F21"/>
    <w:pPr>
      <w:keepNext/>
      <w:keepLines/>
      <w:spacing w:before="40" w:after="0"/>
      <w:outlineLvl w:val="3"/>
    </w:pPr>
    <w:rPr>
      <w:rFonts w:asciiTheme="majorHAnsi" w:eastAsiaTheme="majorEastAsia" w:hAnsiTheme="majorHAnsi" w:cstheme="majorBidi"/>
      <w:i/>
      <w:iCs/>
      <w:color w:val="B35E06" w:themeColor="accent1" w:themeShade="BF"/>
      <w:spacing w:val="0"/>
    </w:rPr>
  </w:style>
  <w:style w:type="paragraph" w:styleId="Heading5">
    <w:name w:val="heading 5"/>
    <w:basedOn w:val="Normal"/>
    <w:next w:val="Normal"/>
    <w:link w:val="Heading5Char"/>
    <w:uiPriority w:val="9"/>
    <w:semiHidden/>
    <w:unhideWhenUsed/>
    <w:qFormat/>
    <w:rsid w:val="00070820"/>
    <w:pPr>
      <w:keepNext/>
      <w:keepLines/>
      <w:spacing w:before="40" w:after="0"/>
      <w:outlineLvl w:val="4"/>
    </w:pPr>
    <w:rPr>
      <w:rFonts w:asciiTheme="majorHAnsi" w:eastAsiaTheme="majorEastAsia" w:hAnsiTheme="majorHAnsi" w:cstheme="majorBidi"/>
      <w:b/>
      <w:color w:val="B35E06" w:themeColor="accent1" w:themeShade="BF"/>
    </w:rPr>
  </w:style>
  <w:style w:type="paragraph" w:styleId="Heading6">
    <w:name w:val="heading 6"/>
    <w:basedOn w:val="Normal"/>
    <w:next w:val="Normal"/>
    <w:link w:val="Heading6Char"/>
    <w:uiPriority w:val="9"/>
    <w:semiHidden/>
    <w:unhideWhenUsed/>
    <w:qFormat/>
    <w:rsid w:val="00CF5C61"/>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CF5C61"/>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CF5C6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F5C6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etingminutes">
    <w:name w:val="Meeting minutes"/>
    <w:basedOn w:val="TableNormal"/>
    <w:uiPriority w:val="99"/>
    <w:rsid w:val="008431CB"/>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Theme="majorHAnsi" w:hAnsiTheme="majorHAnsi"/>
        <w:b/>
        <w:i w:val="0"/>
        <w:color w:val="B35E06" w:themeColor="accent1" w:themeShade="BF"/>
        <w:sz w:val="22"/>
      </w:rPr>
      <w:tblPr/>
      <w:trPr>
        <w:tblHeader/>
      </w:trPr>
      <w:tcPr>
        <w:tcBorders>
          <w:top w:val="nil"/>
          <w:left w:val="nil"/>
          <w:bottom w:val="single" w:sz="12" w:space="0" w:color="1B587C" w:themeColor="accent3"/>
          <w:right w:val="nil"/>
          <w:insideH w:val="nil"/>
          <w:insideV w:val="nil"/>
          <w:tl2br w:val="nil"/>
          <w:tr2bl w:val="nil"/>
        </w:tcBorders>
        <w:tcMar>
          <w:top w:w="288" w:type="dxa"/>
          <w:left w:w="0" w:type="dxa"/>
          <w:bottom w:w="0" w:type="nil"/>
          <w:right w:w="0" w:type="nil"/>
        </w:tcMar>
        <w:vAlign w:val="bottom"/>
      </w:tcPr>
    </w:tblStylePr>
  </w:style>
  <w:style w:type="character" w:styleId="SubtleReference">
    <w:name w:val="Subtle Reference"/>
    <w:basedOn w:val="DefaultParagraphFont"/>
    <w:uiPriority w:val="2"/>
    <w:qFormat/>
    <w:rsid w:val="00CB50F2"/>
    <w:rPr>
      <w:caps/>
      <w:smallCaps w:val="0"/>
      <w:color w:val="9F2936" w:themeColor="accent2"/>
    </w:rPr>
  </w:style>
  <w:style w:type="paragraph" w:styleId="Header">
    <w:name w:val="header"/>
    <w:basedOn w:val="Normal"/>
    <w:link w:val="HeaderChar"/>
    <w:uiPriority w:val="99"/>
    <w:unhideWhenUsed/>
    <w:rsid w:val="00A979E1"/>
    <w:pPr>
      <w:spacing w:after="0"/>
    </w:pPr>
    <w:rPr>
      <w:rFonts w:eastAsiaTheme="minorEastAsia"/>
      <w:spacing w:val="0"/>
      <w:szCs w:val="21"/>
      <w:lang w:eastAsia="ja-JP"/>
    </w:rPr>
  </w:style>
  <w:style w:type="character" w:customStyle="1" w:styleId="HeaderChar">
    <w:name w:val="Header Char"/>
    <w:basedOn w:val="DefaultParagraphFont"/>
    <w:link w:val="Header"/>
    <w:uiPriority w:val="99"/>
    <w:rsid w:val="00A979E1"/>
    <w:rPr>
      <w:rFonts w:eastAsiaTheme="minorEastAsia"/>
      <w:szCs w:val="21"/>
      <w:lang w:eastAsia="ja-JP"/>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CF5C6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F5C61"/>
    <w:rPr>
      <w:rFonts w:ascii="Segoe UI" w:hAnsi="Segoe UI" w:cs="Segoe UI"/>
      <w:spacing w:val="4"/>
      <w:szCs w:val="18"/>
    </w:rPr>
  </w:style>
  <w:style w:type="paragraph" w:styleId="Bibliography">
    <w:name w:val="Bibliography"/>
    <w:basedOn w:val="Normal"/>
    <w:next w:val="Normal"/>
    <w:uiPriority w:val="37"/>
    <w:semiHidden/>
    <w:unhideWhenUsed/>
    <w:rsid w:val="00CF5C61"/>
  </w:style>
  <w:style w:type="paragraph" w:styleId="BlockText">
    <w:name w:val="Block Text"/>
    <w:basedOn w:val="Normal"/>
    <w:uiPriority w:val="99"/>
    <w:semiHidden/>
    <w:unhideWhenUsed/>
    <w:rsid w:val="00CF5C61"/>
    <w:pPr>
      <w:pBdr>
        <w:top w:val="single" w:sz="2" w:space="10" w:color="F07F09" w:themeColor="accent1" w:frame="1"/>
        <w:left w:val="single" w:sz="2" w:space="10" w:color="F07F09" w:themeColor="accent1" w:frame="1"/>
        <w:bottom w:val="single" w:sz="2" w:space="10" w:color="F07F09" w:themeColor="accent1" w:frame="1"/>
        <w:right w:val="single" w:sz="2" w:space="10" w:color="F07F09" w:themeColor="accent1" w:frame="1"/>
      </w:pBdr>
      <w:ind w:left="1152" w:right="1152"/>
    </w:pPr>
    <w:rPr>
      <w:rFonts w:eastAsiaTheme="minorEastAsia"/>
      <w:i/>
      <w:iCs/>
      <w:color w:val="F07F09" w:themeColor="accent1"/>
    </w:rPr>
  </w:style>
  <w:style w:type="paragraph" w:styleId="BodyText">
    <w:name w:val="Body Text"/>
    <w:basedOn w:val="Normal"/>
    <w:link w:val="BodyTextChar"/>
    <w:uiPriority w:val="99"/>
    <w:semiHidden/>
    <w:unhideWhenUsed/>
    <w:rsid w:val="00CF5C61"/>
    <w:pPr>
      <w:spacing w:after="120"/>
    </w:pPr>
  </w:style>
  <w:style w:type="character" w:customStyle="1" w:styleId="BodyTextChar">
    <w:name w:val="Body Text Char"/>
    <w:basedOn w:val="DefaultParagraphFont"/>
    <w:link w:val="BodyText"/>
    <w:uiPriority w:val="99"/>
    <w:semiHidden/>
    <w:rsid w:val="00CF5C61"/>
    <w:rPr>
      <w:spacing w:val="4"/>
    </w:rPr>
  </w:style>
  <w:style w:type="paragraph" w:styleId="BodyText2">
    <w:name w:val="Body Text 2"/>
    <w:basedOn w:val="Normal"/>
    <w:link w:val="BodyText2Char"/>
    <w:uiPriority w:val="99"/>
    <w:semiHidden/>
    <w:unhideWhenUsed/>
    <w:rsid w:val="00CF5C61"/>
    <w:pPr>
      <w:spacing w:after="120" w:line="480" w:lineRule="auto"/>
    </w:pPr>
  </w:style>
  <w:style w:type="character" w:customStyle="1" w:styleId="BodyText2Char">
    <w:name w:val="Body Text 2 Char"/>
    <w:basedOn w:val="DefaultParagraphFont"/>
    <w:link w:val="BodyText2"/>
    <w:uiPriority w:val="99"/>
    <w:semiHidden/>
    <w:rsid w:val="00CF5C61"/>
    <w:rPr>
      <w:spacing w:val="4"/>
    </w:rPr>
  </w:style>
  <w:style w:type="paragraph" w:styleId="BodyText3">
    <w:name w:val="Body Text 3"/>
    <w:basedOn w:val="Normal"/>
    <w:link w:val="BodyText3Char"/>
    <w:uiPriority w:val="99"/>
    <w:semiHidden/>
    <w:unhideWhenUsed/>
    <w:rsid w:val="00CF5C61"/>
    <w:pPr>
      <w:spacing w:after="120"/>
    </w:pPr>
    <w:rPr>
      <w:szCs w:val="16"/>
    </w:rPr>
  </w:style>
  <w:style w:type="character" w:customStyle="1" w:styleId="BodyText3Char">
    <w:name w:val="Body Text 3 Char"/>
    <w:basedOn w:val="DefaultParagraphFont"/>
    <w:link w:val="BodyText3"/>
    <w:uiPriority w:val="99"/>
    <w:semiHidden/>
    <w:rsid w:val="00CF5C61"/>
    <w:rPr>
      <w:spacing w:val="4"/>
      <w:szCs w:val="16"/>
    </w:rPr>
  </w:style>
  <w:style w:type="paragraph" w:styleId="BodyTextFirstIndent">
    <w:name w:val="Body Text First Indent"/>
    <w:basedOn w:val="BodyText"/>
    <w:link w:val="BodyTextFirstIndentChar"/>
    <w:uiPriority w:val="99"/>
    <w:semiHidden/>
    <w:unhideWhenUsed/>
    <w:rsid w:val="00CF5C61"/>
    <w:pPr>
      <w:spacing w:after="240"/>
      <w:ind w:firstLine="360"/>
    </w:pPr>
  </w:style>
  <w:style w:type="character" w:customStyle="1" w:styleId="BodyTextFirstIndentChar">
    <w:name w:val="Body Text First Indent Char"/>
    <w:basedOn w:val="BodyTextChar"/>
    <w:link w:val="BodyTextFirstIndent"/>
    <w:uiPriority w:val="99"/>
    <w:semiHidden/>
    <w:rsid w:val="00CF5C61"/>
    <w:rPr>
      <w:spacing w:val="4"/>
    </w:rPr>
  </w:style>
  <w:style w:type="paragraph" w:styleId="BodyTextIndent">
    <w:name w:val="Body Text Indent"/>
    <w:basedOn w:val="Normal"/>
    <w:link w:val="BodyTextIndentChar"/>
    <w:uiPriority w:val="99"/>
    <w:semiHidden/>
    <w:unhideWhenUsed/>
    <w:rsid w:val="00CF5C61"/>
    <w:pPr>
      <w:spacing w:after="120"/>
      <w:ind w:left="360"/>
    </w:pPr>
  </w:style>
  <w:style w:type="character" w:customStyle="1" w:styleId="BodyTextIndentChar">
    <w:name w:val="Body Text Indent Char"/>
    <w:basedOn w:val="DefaultParagraphFont"/>
    <w:link w:val="BodyTextIndent"/>
    <w:uiPriority w:val="99"/>
    <w:semiHidden/>
    <w:rsid w:val="00CF5C61"/>
    <w:rPr>
      <w:spacing w:val="4"/>
    </w:rPr>
  </w:style>
  <w:style w:type="paragraph" w:styleId="BodyTextFirstIndent2">
    <w:name w:val="Body Text First Indent 2"/>
    <w:basedOn w:val="BodyTextIndent"/>
    <w:link w:val="BodyTextFirstIndent2Char"/>
    <w:uiPriority w:val="99"/>
    <w:semiHidden/>
    <w:unhideWhenUsed/>
    <w:rsid w:val="00CF5C61"/>
    <w:pPr>
      <w:spacing w:after="240"/>
      <w:ind w:firstLine="360"/>
    </w:pPr>
  </w:style>
  <w:style w:type="character" w:customStyle="1" w:styleId="BodyTextFirstIndent2Char">
    <w:name w:val="Body Text First Indent 2 Char"/>
    <w:basedOn w:val="BodyTextIndentChar"/>
    <w:link w:val="BodyTextFirstIndent2"/>
    <w:uiPriority w:val="99"/>
    <w:semiHidden/>
    <w:rsid w:val="00CF5C61"/>
    <w:rPr>
      <w:spacing w:val="4"/>
    </w:rPr>
  </w:style>
  <w:style w:type="paragraph" w:styleId="BodyTextIndent2">
    <w:name w:val="Body Text Indent 2"/>
    <w:basedOn w:val="Normal"/>
    <w:link w:val="BodyTextIndent2Char"/>
    <w:uiPriority w:val="99"/>
    <w:semiHidden/>
    <w:unhideWhenUsed/>
    <w:rsid w:val="00CF5C61"/>
    <w:pPr>
      <w:spacing w:after="120" w:line="480" w:lineRule="auto"/>
      <w:ind w:left="360"/>
    </w:pPr>
  </w:style>
  <w:style w:type="character" w:customStyle="1" w:styleId="BodyTextIndent2Char">
    <w:name w:val="Body Text Indent 2 Char"/>
    <w:basedOn w:val="DefaultParagraphFont"/>
    <w:link w:val="BodyTextIndent2"/>
    <w:uiPriority w:val="99"/>
    <w:semiHidden/>
    <w:rsid w:val="00CF5C61"/>
    <w:rPr>
      <w:spacing w:val="4"/>
    </w:rPr>
  </w:style>
  <w:style w:type="paragraph" w:styleId="BodyTextIndent3">
    <w:name w:val="Body Text Indent 3"/>
    <w:basedOn w:val="Normal"/>
    <w:link w:val="BodyTextIndent3Char"/>
    <w:uiPriority w:val="99"/>
    <w:semiHidden/>
    <w:unhideWhenUsed/>
    <w:rsid w:val="00CF5C61"/>
    <w:pPr>
      <w:spacing w:after="120"/>
      <w:ind w:left="360"/>
    </w:pPr>
    <w:rPr>
      <w:szCs w:val="16"/>
    </w:rPr>
  </w:style>
  <w:style w:type="character" w:customStyle="1" w:styleId="BodyTextIndent3Char">
    <w:name w:val="Body Text Indent 3 Char"/>
    <w:basedOn w:val="DefaultParagraphFont"/>
    <w:link w:val="BodyTextIndent3"/>
    <w:uiPriority w:val="99"/>
    <w:semiHidden/>
    <w:rsid w:val="00CF5C61"/>
    <w:rPr>
      <w:spacing w:val="4"/>
      <w:szCs w:val="16"/>
    </w:rPr>
  </w:style>
  <w:style w:type="character" w:styleId="BookTitle">
    <w:name w:val="Book Title"/>
    <w:basedOn w:val="DefaultParagraphFont"/>
    <w:uiPriority w:val="33"/>
    <w:semiHidden/>
    <w:unhideWhenUsed/>
    <w:qFormat/>
    <w:rsid w:val="00DC2307"/>
    <w:rPr>
      <w:b/>
      <w:bCs/>
      <w:i/>
      <w:iCs/>
      <w:spacing w:val="0"/>
    </w:rPr>
  </w:style>
  <w:style w:type="paragraph" w:styleId="Caption">
    <w:name w:val="caption"/>
    <w:basedOn w:val="Normal"/>
    <w:next w:val="Normal"/>
    <w:uiPriority w:val="35"/>
    <w:semiHidden/>
    <w:unhideWhenUsed/>
    <w:qFormat/>
    <w:rsid w:val="00CF5C61"/>
    <w:pPr>
      <w:spacing w:after="200"/>
    </w:pPr>
    <w:rPr>
      <w:i/>
      <w:iCs/>
      <w:color w:val="323232" w:themeColor="text2"/>
      <w:szCs w:val="18"/>
    </w:rPr>
  </w:style>
  <w:style w:type="table" w:styleId="ColorfulGrid">
    <w:name w:val="Colorful Grid"/>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CF5C6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F5C61"/>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CF5C61"/>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CF5C61"/>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CF5C61"/>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CF5C61"/>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CF5C61"/>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F5C61"/>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CF5C61"/>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F5C61"/>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F5C61"/>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F5C61"/>
    <w:rPr>
      <w:sz w:val="22"/>
      <w:szCs w:val="16"/>
    </w:rPr>
  </w:style>
  <w:style w:type="paragraph" w:styleId="CommentText">
    <w:name w:val="annotation text"/>
    <w:basedOn w:val="Normal"/>
    <w:link w:val="CommentTextChar"/>
    <w:uiPriority w:val="99"/>
    <w:semiHidden/>
    <w:unhideWhenUsed/>
    <w:rsid w:val="00CF5C61"/>
    <w:rPr>
      <w:szCs w:val="20"/>
    </w:rPr>
  </w:style>
  <w:style w:type="character" w:customStyle="1" w:styleId="CommentTextChar">
    <w:name w:val="Comment Text Char"/>
    <w:basedOn w:val="DefaultParagraphFont"/>
    <w:link w:val="CommentText"/>
    <w:uiPriority w:val="99"/>
    <w:semiHidden/>
    <w:rsid w:val="00CF5C61"/>
    <w:rPr>
      <w:spacing w:val="4"/>
      <w:szCs w:val="20"/>
    </w:rPr>
  </w:style>
  <w:style w:type="paragraph" w:styleId="CommentSubject">
    <w:name w:val="annotation subject"/>
    <w:basedOn w:val="CommentText"/>
    <w:next w:val="CommentText"/>
    <w:link w:val="CommentSubjectChar"/>
    <w:uiPriority w:val="99"/>
    <w:semiHidden/>
    <w:unhideWhenUsed/>
    <w:rsid w:val="00CF5C61"/>
    <w:rPr>
      <w:b/>
      <w:bCs/>
    </w:rPr>
  </w:style>
  <w:style w:type="character" w:customStyle="1" w:styleId="CommentSubjectChar">
    <w:name w:val="Comment Subject Char"/>
    <w:basedOn w:val="CommentTextChar"/>
    <w:link w:val="CommentSubject"/>
    <w:uiPriority w:val="99"/>
    <w:semiHidden/>
    <w:rsid w:val="00CF5C61"/>
    <w:rPr>
      <w:b/>
      <w:bCs/>
      <w:spacing w:val="4"/>
      <w:szCs w:val="20"/>
    </w:rPr>
  </w:style>
  <w:style w:type="table" w:styleId="DarkList">
    <w:name w:val="Dark List"/>
    <w:basedOn w:val="TableNormal"/>
    <w:uiPriority w:val="70"/>
    <w:semiHidden/>
    <w:unhideWhenUsed/>
    <w:rsid w:val="00CF5C6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F5C61"/>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CF5C61"/>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CF5C61"/>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CF5C61"/>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CF5C61"/>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CF5C61"/>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ocumentMap">
    <w:name w:val="Document Map"/>
    <w:basedOn w:val="Normal"/>
    <w:link w:val="DocumentMapChar"/>
    <w:uiPriority w:val="99"/>
    <w:semiHidden/>
    <w:unhideWhenUsed/>
    <w:rsid w:val="00CF5C61"/>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F5C61"/>
    <w:rPr>
      <w:rFonts w:ascii="Segoe UI" w:hAnsi="Segoe UI" w:cs="Segoe UI"/>
      <w:spacing w:val="4"/>
      <w:szCs w:val="16"/>
    </w:rPr>
  </w:style>
  <w:style w:type="paragraph" w:styleId="E-mailSignature">
    <w:name w:val="E-mail Signature"/>
    <w:basedOn w:val="Normal"/>
    <w:link w:val="E-mailSignatureChar"/>
    <w:uiPriority w:val="99"/>
    <w:semiHidden/>
    <w:unhideWhenUsed/>
    <w:rsid w:val="00CF5C61"/>
    <w:pPr>
      <w:spacing w:after="0"/>
    </w:pPr>
  </w:style>
  <w:style w:type="character" w:customStyle="1" w:styleId="E-mailSignatureChar">
    <w:name w:val="E-mail Signature Char"/>
    <w:basedOn w:val="DefaultParagraphFont"/>
    <w:link w:val="E-mailSignature"/>
    <w:uiPriority w:val="99"/>
    <w:semiHidden/>
    <w:rsid w:val="00CF5C61"/>
    <w:rPr>
      <w:spacing w:val="4"/>
    </w:rPr>
  </w:style>
  <w:style w:type="character" w:styleId="Emphasis">
    <w:name w:val="Emphasis"/>
    <w:basedOn w:val="DefaultParagraphFont"/>
    <w:uiPriority w:val="20"/>
    <w:semiHidden/>
    <w:unhideWhenUsed/>
    <w:qFormat/>
    <w:rsid w:val="00CF5C61"/>
    <w:rPr>
      <w:i/>
      <w:iCs/>
    </w:rPr>
  </w:style>
  <w:style w:type="character" w:styleId="EndnoteReference">
    <w:name w:val="endnote reference"/>
    <w:basedOn w:val="DefaultParagraphFont"/>
    <w:uiPriority w:val="99"/>
    <w:semiHidden/>
    <w:unhideWhenUsed/>
    <w:rsid w:val="00CF5C61"/>
    <w:rPr>
      <w:vertAlign w:val="superscript"/>
    </w:rPr>
  </w:style>
  <w:style w:type="paragraph" w:styleId="EndnoteText">
    <w:name w:val="endnote text"/>
    <w:basedOn w:val="Normal"/>
    <w:link w:val="EndnoteTextChar"/>
    <w:uiPriority w:val="99"/>
    <w:semiHidden/>
    <w:unhideWhenUsed/>
    <w:rsid w:val="00CF5C61"/>
    <w:pPr>
      <w:spacing w:after="0"/>
    </w:pPr>
    <w:rPr>
      <w:szCs w:val="20"/>
    </w:rPr>
  </w:style>
  <w:style w:type="character" w:customStyle="1" w:styleId="EndnoteTextChar">
    <w:name w:val="Endnote Text Char"/>
    <w:basedOn w:val="DefaultParagraphFont"/>
    <w:link w:val="EndnoteText"/>
    <w:uiPriority w:val="99"/>
    <w:semiHidden/>
    <w:rsid w:val="00CF5C61"/>
    <w:rPr>
      <w:spacing w:val="4"/>
      <w:szCs w:val="20"/>
    </w:rPr>
  </w:style>
  <w:style w:type="paragraph" w:styleId="EnvelopeAddress">
    <w:name w:val="envelope address"/>
    <w:basedOn w:val="Normal"/>
    <w:uiPriority w:val="99"/>
    <w:semiHidden/>
    <w:unhideWhenUsed/>
    <w:rsid w:val="00CF5C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5C61"/>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F5C61"/>
    <w:rPr>
      <w:color w:val="B26B02" w:themeColor="followedHyperlink"/>
      <w:u w:val="single"/>
    </w:rPr>
  </w:style>
  <w:style w:type="paragraph" w:styleId="Footer">
    <w:name w:val="footer"/>
    <w:basedOn w:val="Normal"/>
    <w:link w:val="FooterChar"/>
    <w:uiPriority w:val="99"/>
    <w:unhideWhenUsed/>
    <w:rsid w:val="00CB50F2"/>
    <w:pPr>
      <w:spacing w:before="0" w:after="0"/>
      <w:jc w:val="right"/>
    </w:pPr>
    <w:rPr>
      <w:rFonts w:eastAsiaTheme="minorEastAsia"/>
      <w:spacing w:val="0"/>
      <w:szCs w:val="21"/>
      <w:lang w:eastAsia="ja-JP"/>
    </w:rPr>
  </w:style>
  <w:style w:type="character" w:customStyle="1" w:styleId="FooterChar">
    <w:name w:val="Footer Char"/>
    <w:basedOn w:val="DefaultParagraphFont"/>
    <w:link w:val="Footer"/>
    <w:uiPriority w:val="99"/>
    <w:rsid w:val="00CB50F2"/>
    <w:rPr>
      <w:rFonts w:eastAsiaTheme="minorEastAsia"/>
      <w:szCs w:val="21"/>
      <w:lang w:eastAsia="ja-JP"/>
    </w:rPr>
  </w:style>
  <w:style w:type="character" w:styleId="FootnoteReference">
    <w:name w:val="footnote reference"/>
    <w:basedOn w:val="DefaultParagraphFont"/>
    <w:uiPriority w:val="99"/>
    <w:semiHidden/>
    <w:unhideWhenUsed/>
    <w:rsid w:val="00CF5C61"/>
    <w:rPr>
      <w:vertAlign w:val="superscript"/>
    </w:rPr>
  </w:style>
  <w:style w:type="paragraph" w:styleId="FootnoteText">
    <w:name w:val="footnote text"/>
    <w:basedOn w:val="Normal"/>
    <w:link w:val="FootnoteTextChar"/>
    <w:uiPriority w:val="99"/>
    <w:semiHidden/>
    <w:unhideWhenUsed/>
    <w:rsid w:val="00CF5C61"/>
    <w:pPr>
      <w:spacing w:after="0"/>
    </w:pPr>
    <w:rPr>
      <w:szCs w:val="20"/>
    </w:rPr>
  </w:style>
  <w:style w:type="character" w:customStyle="1" w:styleId="FootnoteTextChar">
    <w:name w:val="Footnote Text Char"/>
    <w:basedOn w:val="DefaultParagraphFont"/>
    <w:link w:val="FootnoteText"/>
    <w:uiPriority w:val="99"/>
    <w:semiHidden/>
    <w:rsid w:val="00CF5C61"/>
    <w:rPr>
      <w:spacing w:val="4"/>
      <w:szCs w:val="20"/>
    </w:rPr>
  </w:style>
  <w:style w:type="table" w:styleId="GridTable1Light">
    <w:name w:val="Grid Table 1 Light"/>
    <w:basedOn w:val="TableNormal"/>
    <w:uiPriority w:val="46"/>
    <w:rsid w:val="00CF5C6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61"/>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61"/>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61"/>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61"/>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61"/>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61"/>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F5C6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F5C61"/>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CF5C61"/>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CF5C61"/>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CF5C61"/>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CF5C61"/>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CF5C61"/>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Heading1Char">
    <w:name w:val="Heading 1 Char"/>
    <w:basedOn w:val="DefaultParagraphFont"/>
    <w:link w:val="Heading1"/>
    <w:uiPriority w:val="9"/>
    <w:rsid w:val="00CB50F2"/>
    <w:rPr>
      <w:rFonts w:asciiTheme="majorHAnsi" w:eastAsiaTheme="majorEastAsia" w:hAnsiTheme="majorHAnsi" w:cstheme="majorBidi"/>
      <w:b/>
      <w:bCs/>
      <w:caps/>
      <w:color w:val="1B587C" w:themeColor="accent3"/>
      <w:sz w:val="26"/>
      <w:szCs w:val="26"/>
      <w:lang w:eastAsia="ja-JP"/>
    </w:rPr>
  </w:style>
  <w:style w:type="character" w:customStyle="1" w:styleId="Heading2Char">
    <w:name w:val="Heading 2 Char"/>
    <w:basedOn w:val="DefaultParagraphFont"/>
    <w:link w:val="Heading2"/>
    <w:uiPriority w:val="9"/>
    <w:rsid w:val="00E70F21"/>
    <w:rPr>
      <w:rFonts w:asciiTheme="majorHAnsi" w:eastAsiaTheme="majorEastAsia" w:hAnsiTheme="majorHAnsi" w:cstheme="majorBidi"/>
      <w:bCs/>
      <w:color w:val="9F2936" w:themeColor="accent2"/>
      <w:spacing w:val="15"/>
      <w:szCs w:val="21"/>
      <w:lang w:eastAsia="ja-JP"/>
    </w:rPr>
  </w:style>
  <w:style w:type="character" w:customStyle="1" w:styleId="Heading3Char">
    <w:name w:val="Heading 3 Char"/>
    <w:basedOn w:val="DefaultParagraphFont"/>
    <w:link w:val="Heading3"/>
    <w:uiPriority w:val="9"/>
    <w:rsid w:val="00E70F21"/>
    <w:rPr>
      <w:rFonts w:asciiTheme="majorHAnsi" w:eastAsiaTheme="majorEastAsia" w:hAnsiTheme="majorHAnsi" w:cstheme="majorBidi"/>
      <w:color w:val="B35E06" w:themeColor="accent1" w:themeShade="BF"/>
      <w:szCs w:val="24"/>
    </w:rPr>
  </w:style>
  <w:style w:type="character" w:customStyle="1" w:styleId="Heading4Char">
    <w:name w:val="Heading 4 Char"/>
    <w:basedOn w:val="DefaultParagraphFont"/>
    <w:link w:val="Heading4"/>
    <w:uiPriority w:val="9"/>
    <w:semiHidden/>
    <w:rsid w:val="00E70F21"/>
    <w:rPr>
      <w:rFonts w:asciiTheme="majorHAnsi" w:eastAsiaTheme="majorEastAsia" w:hAnsiTheme="majorHAnsi" w:cstheme="majorBidi"/>
      <w:i/>
      <w:iCs/>
      <w:color w:val="B35E06" w:themeColor="accent1" w:themeShade="BF"/>
    </w:rPr>
  </w:style>
  <w:style w:type="character" w:customStyle="1" w:styleId="Heading5Char">
    <w:name w:val="Heading 5 Char"/>
    <w:basedOn w:val="DefaultParagraphFont"/>
    <w:link w:val="Heading5"/>
    <w:uiPriority w:val="9"/>
    <w:semiHidden/>
    <w:rsid w:val="00070820"/>
    <w:rPr>
      <w:rFonts w:asciiTheme="majorHAnsi" w:eastAsiaTheme="majorEastAsia" w:hAnsiTheme="majorHAnsi" w:cstheme="majorBidi"/>
      <w:b/>
      <w:color w:val="B35E06" w:themeColor="accent1" w:themeShade="BF"/>
      <w:spacing w:val="4"/>
    </w:rPr>
  </w:style>
  <w:style w:type="character" w:customStyle="1" w:styleId="Heading6Char">
    <w:name w:val="Heading 6 Char"/>
    <w:basedOn w:val="DefaultParagraphFont"/>
    <w:link w:val="Heading6"/>
    <w:uiPriority w:val="9"/>
    <w:semiHidden/>
    <w:rsid w:val="00CF5C61"/>
    <w:rPr>
      <w:rFonts w:asciiTheme="majorHAnsi" w:eastAsiaTheme="majorEastAsia" w:hAnsiTheme="majorHAnsi" w:cstheme="majorBidi"/>
      <w:color w:val="773F04" w:themeColor="accent1" w:themeShade="7F"/>
      <w:spacing w:val="4"/>
    </w:rPr>
  </w:style>
  <w:style w:type="character" w:customStyle="1" w:styleId="Heading7Char">
    <w:name w:val="Heading 7 Char"/>
    <w:basedOn w:val="DefaultParagraphFont"/>
    <w:link w:val="Heading7"/>
    <w:uiPriority w:val="9"/>
    <w:semiHidden/>
    <w:rsid w:val="00CF5C61"/>
    <w:rPr>
      <w:rFonts w:asciiTheme="majorHAnsi" w:eastAsiaTheme="majorEastAsia" w:hAnsiTheme="majorHAnsi" w:cstheme="majorBidi"/>
      <w:i/>
      <w:iCs/>
      <w:color w:val="773F04" w:themeColor="accent1" w:themeShade="7F"/>
      <w:spacing w:val="4"/>
    </w:rPr>
  </w:style>
  <w:style w:type="character" w:customStyle="1" w:styleId="Heading8Char">
    <w:name w:val="Heading 8 Char"/>
    <w:basedOn w:val="DefaultParagraphFont"/>
    <w:link w:val="Heading8"/>
    <w:uiPriority w:val="9"/>
    <w:semiHidden/>
    <w:rsid w:val="00CF5C61"/>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CF5C61"/>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CF5C61"/>
  </w:style>
  <w:style w:type="paragraph" w:styleId="HTMLAddress">
    <w:name w:val="HTML Address"/>
    <w:basedOn w:val="Normal"/>
    <w:link w:val="HTMLAddressChar"/>
    <w:uiPriority w:val="99"/>
    <w:semiHidden/>
    <w:unhideWhenUsed/>
    <w:rsid w:val="00CF5C61"/>
    <w:pPr>
      <w:spacing w:after="0"/>
    </w:pPr>
    <w:rPr>
      <w:i/>
      <w:iCs/>
    </w:rPr>
  </w:style>
  <w:style w:type="character" w:customStyle="1" w:styleId="HTMLAddressChar">
    <w:name w:val="HTML Address Char"/>
    <w:basedOn w:val="DefaultParagraphFont"/>
    <w:link w:val="HTMLAddress"/>
    <w:uiPriority w:val="99"/>
    <w:semiHidden/>
    <w:rsid w:val="00CF5C61"/>
    <w:rPr>
      <w:i/>
      <w:iCs/>
      <w:spacing w:val="4"/>
    </w:rPr>
  </w:style>
  <w:style w:type="character" w:styleId="HTMLCite">
    <w:name w:val="HTML Cite"/>
    <w:basedOn w:val="DefaultParagraphFont"/>
    <w:uiPriority w:val="99"/>
    <w:semiHidden/>
    <w:unhideWhenUsed/>
    <w:rsid w:val="00CF5C61"/>
    <w:rPr>
      <w:i/>
      <w:iCs/>
    </w:rPr>
  </w:style>
  <w:style w:type="character" w:styleId="HTMLCode">
    <w:name w:val="HTML Code"/>
    <w:basedOn w:val="DefaultParagraphFont"/>
    <w:uiPriority w:val="99"/>
    <w:semiHidden/>
    <w:unhideWhenUsed/>
    <w:rsid w:val="00CF5C61"/>
    <w:rPr>
      <w:rFonts w:ascii="Consolas" w:hAnsi="Consolas"/>
      <w:sz w:val="22"/>
      <w:szCs w:val="20"/>
    </w:rPr>
  </w:style>
  <w:style w:type="character" w:styleId="HTMLDefinition">
    <w:name w:val="HTML Definition"/>
    <w:basedOn w:val="DefaultParagraphFont"/>
    <w:uiPriority w:val="99"/>
    <w:semiHidden/>
    <w:unhideWhenUsed/>
    <w:rsid w:val="00CF5C61"/>
    <w:rPr>
      <w:i/>
      <w:iCs/>
    </w:rPr>
  </w:style>
  <w:style w:type="character" w:styleId="HTMLKeyboard">
    <w:name w:val="HTML Keyboard"/>
    <w:basedOn w:val="DefaultParagraphFont"/>
    <w:uiPriority w:val="99"/>
    <w:semiHidden/>
    <w:unhideWhenUsed/>
    <w:rsid w:val="00CF5C61"/>
    <w:rPr>
      <w:rFonts w:ascii="Consolas" w:hAnsi="Consolas"/>
      <w:sz w:val="22"/>
      <w:szCs w:val="20"/>
    </w:rPr>
  </w:style>
  <w:style w:type="paragraph" w:styleId="HTMLPreformatted">
    <w:name w:val="HTML Preformatted"/>
    <w:basedOn w:val="Normal"/>
    <w:link w:val="HTMLPreformattedChar"/>
    <w:uiPriority w:val="99"/>
    <w:semiHidden/>
    <w:unhideWhenUsed/>
    <w:rsid w:val="00CF5C61"/>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F5C61"/>
    <w:rPr>
      <w:rFonts w:ascii="Consolas" w:hAnsi="Consolas"/>
      <w:spacing w:val="4"/>
      <w:szCs w:val="20"/>
    </w:rPr>
  </w:style>
  <w:style w:type="character" w:styleId="HTMLSample">
    <w:name w:val="HTML Sample"/>
    <w:basedOn w:val="DefaultParagraphFont"/>
    <w:uiPriority w:val="99"/>
    <w:semiHidden/>
    <w:unhideWhenUsed/>
    <w:rsid w:val="00CF5C61"/>
    <w:rPr>
      <w:rFonts w:ascii="Consolas" w:hAnsi="Consolas"/>
      <w:sz w:val="24"/>
      <w:szCs w:val="24"/>
    </w:rPr>
  </w:style>
  <w:style w:type="character" w:styleId="HTMLTypewriter">
    <w:name w:val="HTML Typewriter"/>
    <w:basedOn w:val="DefaultParagraphFont"/>
    <w:uiPriority w:val="99"/>
    <w:semiHidden/>
    <w:unhideWhenUsed/>
    <w:rsid w:val="00CF5C61"/>
    <w:rPr>
      <w:rFonts w:ascii="Consolas" w:hAnsi="Consolas"/>
      <w:sz w:val="22"/>
      <w:szCs w:val="20"/>
    </w:rPr>
  </w:style>
  <w:style w:type="character" w:styleId="HTMLVariable">
    <w:name w:val="HTML Variable"/>
    <w:basedOn w:val="DefaultParagraphFont"/>
    <w:uiPriority w:val="99"/>
    <w:semiHidden/>
    <w:unhideWhenUsed/>
    <w:rsid w:val="00CF5C61"/>
    <w:rPr>
      <w:i/>
      <w:iCs/>
    </w:rPr>
  </w:style>
  <w:style w:type="character" w:styleId="Hyperlink">
    <w:name w:val="Hyperlink"/>
    <w:basedOn w:val="DefaultParagraphFont"/>
    <w:uiPriority w:val="99"/>
    <w:semiHidden/>
    <w:unhideWhenUsed/>
    <w:rsid w:val="00CF5C61"/>
    <w:rPr>
      <w:color w:val="6B9F25" w:themeColor="hyperlink"/>
      <w:u w:val="single"/>
    </w:rPr>
  </w:style>
  <w:style w:type="paragraph" w:styleId="Index1">
    <w:name w:val="index 1"/>
    <w:basedOn w:val="Normal"/>
    <w:next w:val="Normal"/>
    <w:autoRedefine/>
    <w:uiPriority w:val="99"/>
    <w:semiHidden/>
    <w:unhideWhenUsed/>
    <w:rsid w:val="00CF5C61"/>
    <w:pPr>
      <w:spacing w:after="0"/>
      <w:ind w:left="220" w:hanging="220"/>
    </w:pPr>
  </w:style>
  <w:style w:type="paragraph" w:styleId="Index2">
    <w:name w:val="index 2"/>
    <w:basedOn w:val="Normal"/>
    <w:next w:val="Normal"/>
    <w:autoRedefine/>
    <w:uiPriority w:val="99"/>
    <w:semiHidden/>
    <w:unhideWhenUsed/>
    <w:rsid w:val="00CF5C61"/>
    <w:pPr>
      <w:spacing w:after="0"/>
      <w:ind w:left="440" w:hanging="220"/>
    </w:pPr>
  </w:style>
  <w:style w:type="paragraph" w:styleId="Index3">
    <w:name w:val="index 3"/>
    <w:basedOn w:val="Normal"/>
    <w:next w:val="Normal"/>
    <w:autoRedefine/>
    <w:uiPriority w:val="99"/>
    <w:semiHidden/>
    <w:unhideWhenUsed/>
    <w:rsid w:val="00CF5C61"/>
    <w:pPr>
      <w:spacing w:after="0"/>
      <w:ind w:left="660" w:hanging="220"/>
    </w:pPr>
  </w:style>
  <w:style w:type="paragraph" w:styleId="Index4">
    <w:name w:val="index 4"/>
    <w:basedOn w:val="Normal"/>
    <w:next w:val="Normal"/>
    <w:autoRedefine/>
    <w:uiPriority w:val="99"/>
    <w:semiHidden/>
    <w:unhideWhenUsed/>
    <w:rsid w:val="00CF5C61"/>
    <w:pPr>
      <w:spacing w:after="0"/>
      <w:ind w:left="880" w:hanging="220"/>
    </w:pPr>
  </w:style>
  <w:style w:type="paragraph" w:styleId="Index5">
    <w:name w:val="index 5"/>
    <w:basedOn w:val="Normal"/>
    <w:next w:val="Normal"/>
    <w:autoRedefine/>
    <w:uiPriority w:val="99"/>
    <w:semiHidden/>
    <w:unhideWhenUsed/>
    <w:rsid w:val="00CF5C61"/>
    <w:pPr>
      <w:spacing w:after="0"/>
      <w:ind w:left="1100" w:hanging="220"/>
    </w:pPr>
  </w:style>
  <w:style w:type="paragraph" w:styleId="Index6">
    <w:name w:val="index 6"/>
    <w:basedOn w:val="Normal"/>
    <w:next w:val="Normal"/>
    <w:autoRedefine/>
    <w:uiPriority w:val="99"/>
    <w:semiHidden/>
    <w:unhideWhenUsed/>
    <w:rsid w:val="00CF5C61"/>
    <w:pPr>
      <w:spacing w:after="0"/>
      <w:ind w:left="1320" w:hanging="220"/>
    </w:pPr>
  </w:style>
  <w:style w:type="paragraph" w:styleId="Index7">
    <w:name w:val="index 7"/>
    <w:basedOn w:val="Normal"/>
    <w:next w:val="Normal"/>
    <w:autoRedefine/>
    <w:uiPriority w:val="99"/>
    <w:semiHidden/>
    <w:unhideWhenUsed/>
    <w:rsid w:val="00CF5C61"/>
    <w:pPr>
      <w:spacing w:after="0"/>
      <w:ind w:left="1540" w:hanging="220"/>
    </w:pPr>
  </w:style>
  <w:style w:type="paragraph" w:styleId="Index8">
    <w:name w:val="index 8"/>
    <w:basedOn w:val="Normal"/>
    <w:next w:val="Normal"/>
    <w:autoRedefine/>
    <w:uiPriority w:val="99"/>
    <w:semiHidden/>
    <w:unhideWhenUsed/>
    <w:rsid w:val="00CF5C61"/>
    <w:pPr>
      <w:spacing w:after="0"/>
      <w:ind w:left="1760" w:hanging="220"/>
    </w:pPr>
  </w:style>
  <w:style w:type="paragraph" w:styleId="Index9">
    <w:name w:val="index 9"/>
    <w:basedOn w:val="Normal"/>
    <w:next w:val="Normal"/>
    <w:autoRedefine/>
    <w:uiPriority w:val="99"/>
    <w:semiHidden/>
    <w:unhideWhenUsed/>
    <w:rsid w:val="00CF5C61"/>
    <w:pPr>
      <w:spacing w:after="0"/>
      <w:ind w:left="1980" w:hanging="220"/>
    </w:pPr>
  </w:style>
  <w:style w:type="paragraph" w:styleId="IndexHeading">
    <w:name w:val="index heading"/>
    <w:basedOn w:val="Normal"/>
    <w:next w:val="Index1"/>
    <w:uiPriority w:val="99"/>
    <w:semiHidden/>
    <w:unhideWhenUsed/>
    <w:rsid w:val="00CF5C6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E7D19"/>
    <w:rPr>
      <w:i/>
      <w:iCs/>
      <w:color w:val="B35E06" w:themeColor="accent1" w:themeShade="BF"/>
    </w:rPr>
  </w:style>
  <w:style w:type="paragraph" w:styleId="IntenseQuote">
    <w:name w:val="Intense Quote"/>
    <w:basedOn w:val="Normal"/>
    <w:next w:val="Normal"/>
    <w:link w:val="IntenseQuoteChar"/>
    <w:uiPriority w:val="30"/>
    <w:semiHidden/>
    <w:unhideWhenUsed/>
    <w:qFormat/>
    <w:rsid w:val="005E7D19"/>
    <w:pPr>
      <w:pBdr>
        <w:top w:val="single" w:sz="4" w:space="10" w:color="B35E06" w:themeColor="accent1" w:themeShade="BF"/>
        <w:bottom w:val="single" w:sz="4" w:space="10" w:color="B35E06" w:themeColor="accent1" w:themeShade="BF"/>
      </w:pBdr>
      <w:spacing w:before="360" w:after="360"/>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5E7D19"/>
    <w:rPr>
      <w:i/>
      <w:iCs/>
      <w:color w:val="B35E06" w:themeColor="accent1" w:themeShade="BF"/>
      <w:spacing w:val="4"/>
    </w:rPr>
  </w:style>
  <w:style w:type="character" w:styleId="IntenseReference">
    <w:name w:val="Intense Reference"/>
    <w:basedOn w:val="DefaultParagraphFont"/>
    <w:uiPriority w:val="32"/>
    <w:semiHidden/>
    <w:unhideWhenUsed/>
    <w:qFormat/>
    <w:rsid w:val="005E7D19"/>
    <w:rPr>
      <w:b/>
      <w:bCs/>
      <w:caps w:val="0"/>
      <w:smallCaps/>
      <w:color w:val="B35E06" w:themeColor="accent1" w:themeShade="BF"/>
      <w:spacing w:val="0"/>
    </w:rPr>
  </w:style>
  <w:style w:type="table" w:styleId="LightGrid">
    <w:name w:val="Light Grid"/>
    <w:basedOn w:val="TableNormal"/>
    <w:uiPriority w:val="62"/>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CF5C6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F5C61"/>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CF5C61"/>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CF5C61"/>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CF5C61"/>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CF5C61"/>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CF5C61"/>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CF5C61"/>
  </w:style>
  <w:style w:type="paragraph" w:styleId="List">
    <w:name w:val="List"/>
    <w:basedOn w:val="Normal"/>
    <w:uiPriority w:val="99"/>
    <w:semiHidden/>
    <w:unhideWhenUsed/>
    <w:rsid w:val="00CF5C61"/>
    <w:pPr>
      <w:ind w:left="360" w:hanging="360"/>
      <w:contextualSpacing/>
    </w:pPr>
  </w:style>
  <w:style w:type="paragraph" w:styleId="List2">
    <w:name w:val="List 2"/>
    <w:basedOn w:val="Normal"/>
    <w:uiPriority w:val="99"/>
    <w:semiHidden/>
    <w:unhideWhenUsed/>
    <w:rsid w:val="00CF5C61"/>
    <w:pPr>
      <w:ind w:left="720" w:hanging="360"/>
      <w:contextualSpacing/>
    </w:pPr>
  </w:style>
  <w:style w:type="paragraph" w:styleId="List3">
    <w:name w:val="List 3"/>
    <w:basedOn w:val="Normal"/>
    <w:uiPriority w:val="99"/>
    <w:semiHidden/>
    <w:unhideWhenUsed/>
    <w:rsid w:val="00CF5C61"/>
    <w:pPr>
      <w:ind w:left="1080" w:hanging="360"/>
      <w:contextualSpacing/>
    </w:pPr>
  </w:style>
  <w:style w:type="paragraph" w:styleId="List4">
    <w:name w:val="List 4"/>
    <w:basedOn w:val="Normal"/>
    <w:uiPriority w:val="99"/>
    <w:semiHidden/>
    <w:unhideWhenUsed/>
    <w:rsid w:val="00CF5C61"/>
    <w:pPr>
      <w:ind w:left="1440" w:hanging="360"/>
      <w:contextualSpacing/>
    </w:pPr>
  </w:style>
  <w:style w:type="paragraph" w:styleId="List5">
    <w:name w:val="List 5"/>
    <w:basedOn w:val="Normal"/>
    <w:uiPriority w:val="99"/>
    <w:semiHidden/>
    <w:unhideWhenUsed/>
    <w:rsid w:val="00CF5C61"/>
    <w:pPr>
      <w:ind w:left="1800" w:hanging="360"/>
      <w:contextualSpacing/>
    </w:pPr>
  </w:style>
  <w:style w:type="paragraph" w:styleId="ListBullet">
    <w:name w:val="List Bullet"/>
    <w:basedOn w:val="Normal"/>
    <w:uiPriority w:val="99"/>
    <w:semiHidden/>
    <w:unhideWhenUsed/>
    <w:rsid w:val="00CF5C61"/>
    <w:pPr>
      <w:numPr>
        <w:numId w:val="1"/>
      </w:numPr>
      <w:contextualSpacing/>
    </w:pPr>
  </w:style>
  <w:style w:type="paragraph" w:styleId="ListBullet2">
    <w:name w:val="List Bullet 2"/>
    <w:basedOn w:val="Normal"/>
    <w:uiPriority w:val="99"/>
    <w:semiHidden/>
    <w:unhideWhenUsed/>
    <w:rsid w:val="00CF5C61"/>
    <w:pPr>
      <w:numPr>
        <w:numId w:val="2"/>
      </w:numPr>
      <w:contextualSpacing/>
    </w:pPr>
  </w:style>
  <w:style w:type="paragraph" w:styleId="ListBullet3">
    <w:name w:val="List Bullet 3"/>
    <w:basedOn w:val="Normal"/>
    <w:uiPriority w:val="99"/>
    <w:semiHidden/>
    <w:unhideWhenUsed/>
    <w:rsid w:val="00CF5C61"/>
    <w:pPr>
      <w:numPr>
        <w:numId w:val="3"/>
      </w:numPr>
      <w:contextualSpacing/>
    </w:pPr>
  </w:style>
  <w:style w:type="paragraph" w:styleId="ListBullet4">
    <w:name w:val="List Bullet 4"/>
    <w:basedOn w:val="Normal"/>
    <w:uiPriority w:val="99"/>
    <w:semiHidden/>
    <w:unhideWhenUsed/>
    <w:rsid w:val="00CF5C61"/>
    <w:pPr>
      <w:numPr>
        <w:numId w:val="4"/>
      </w:numPr>
      <w:contextualSpacing/>
    </w:pPr>
  </w:style>
  <w:style w:type="paragraph" w:styleId="ListBullet5">
    <w:name w:val="List Bullet 5"/>
    <w:basedOn w:val="Normal"/>
    <w:uiPriority w:val="99"/>
    <w:semiHidden/>
    <w:unhideWhenUsed/>
    <w:rsid w:val="00CF5C61"/>
    <w:pPr>
      <w:numPr>
        <w:numId w:val="5"/>
      </w:numPr>
      <w:contextualSpacing/>
    </w:pPr>
  </w:style>
  <w:style w:type="paragraph" w:styleId="ListContinue">
    <w:name w:val="List Continue"/>
    <w:basedOn w:val="Normal"/>
    <w:uiPriority w:val="99"/>
    <w:semiHidden/>
    <w:unhideWhenUsed/>
    <w:rsid w:val="00CF5C61"/>
    <w:pPr>
      <w:spacing w:after="120"/>
      <w:ind w:left="360"/>
      <w:contextualSpacing/>
    </w:pPr>
  </w:style>
  <w:style w:type="paragraph" w:styleId="ListContinue2">
    <w:name w:val="List Continue 2"/>
    <w:basedOn w:val="Normal"/>
    <w:uiPriority w:val="99"/>
    <w:semiHidden/>
    <w:unhideWhenUsed/>
    <w:rsid w:val="00CF5C61"/>
    <w:pPr>
      <w:spacing w:after="120"/>
      <w:ind w:left="720"/>
      <w:contextualSpacing/>
    </w:pPr>
  </w:style>
  <w:style w:type="paragraph" w:styleId="ListContinue3">
    <w:name w:val="List Continue 3"/>
    <w:basedOn w:val="Normal"/>
    <w:uiPriority w:val="99"/>
    <w:semiHidden/>
    <w:unhideWhenUsed/>
    <w:rsid w:val="00CF5C61"/>
    <w:pPr>
      <w:spacing w:after="120"/>
      <w:ind w:left="1080"/>
      <w:contextualSpacing/>
    </w:pPr>
  </w:style>
  <w:style w:type="paragraph" w:styleId="ListContinue4">
    <w:name w:val="List Continue 4"/>
    <w:basedOn w:val="Normal"/>
    <w:uiPriority w:val="99"/>
    <w:semiHidden/>
    <w:unhideWhenUsed/>
    <w:rsid w:val="00CF5C61"/>
    <w:pPr>
      <w:spacing w:after="120"/>
      <w:ind w:left="1440"/>
      <w:contextualSpacing/>
    </w:pPr>
  </w:style>
  <w:style w:type="paragraph" w:styleId="ListContinue5">
    <w:name w:val="List Continue 5"/>
    <w:basedOn w:val="Normal"/>
    <w:uiPriority w:val="99"/>
    <w:semiHidden/>
    <w:unhideWhenUsed/>
    <w:rsid w:val="00CF5C61"/>
    <w:pPr>
      <w:spacing w:after="120"/>
      <w:ind w:left="1800"/>
      <w:contextualSpacing/>
    </w:pPr>
  </w:style>
  <w:style w:type="paragraph" w:styleId="ListNumber">
    <w:name w:val="List Number"/>
    <w:basedOn w:val="Normal"/>
    <w:uiPriority w:val="99"/>
    <w:semiHidden/>
    <w:unhideWhenUsed/>
    <w:rsid w:val="00CF5C61"/>
    <w:pPr>
      <w:numPr>
        <w:numId w:val="6"/>
      </w:numPr>
      <w:contextualSpacing/>
    </w:pPr>
  </w:style>
  <w:style w:type="paragraph" w:styleId="ListNumber2">
    <w:name w:val="List Number 2"/>
    <w:basedOn w:val="Normal"/>
    <w:uiPriority w:val="99"/>
    <w:semiHidden/>
    <w:unhideWhenUsed/>
    <w:rsid w:val="00CF5C61"/>
    <w:pPr>
      <w:numPr>
        <w:numId w:val="7"/>
      </w:numPr>
      <w:contextualSpacing/>
    </w:pPr>
  </w:style>
  <w:style w:type="paragraph" w:styleId="ListNumber3">
    <w:name w:val="List Number 3"/>
    <w:basedOn w:val="Normal"/>
    <w:uiPriority w:val="99"/>
    <w:semiHidden/>
    <w:unhideWhenUsed/>
    <w:rsid w:val="00CF5C61"/>
    <w:pPr>
      <w:numPr>
        <w:numId w:val="8"/>
      </w:numPr>
      <w:contextualSpacing/>
    </w:pPr>
  </w:style>
  <w:style w:type="paragraph" w:styleId="ListNumber4">
    <w:name w:val="List Number 4"/>
    <w:basedOn w:val="Normal"/>
    <w:uiPriority w:val="99"/>
    <w:semiHidden/>
    <w:unhideWhenUsed/>
    <w:rsid w:val="00CF5C61"/>
    <w:pPr>
      <w:numPr>
        <w:numId w:val="9"/>
      </w:numPr>
      <w:contextualSpacing/>
    </w:pPr>
  </w:style>
  <w:style w:type="paragraph" w:styleId="ListNumber5">
    <w:name w:val="List Number 5"/>
    <w:basedOn w:val="Normal"/>
    <w:uiPriority w:val="99"/>
    <w:semiHidden/>
    <w:unhideWhenUsed/>
    <w:rsid w:val="00CF5C61"/>
    <w:pPr>
      <w:numPr>
        <w:numId w:val="10"/>
      </w:numPr>
      <w:contextualSpacing/>
    </w:pPr>
  </w:style>
  <w:style w:type="paragraph" w:styleId="ListParagraph">
    <w:name w:val="List Paragraph"/>
    <w:basedOn w:val="Normal"/>
    <w:uiPriority w:val="34"/>
    <w:unhideWhenUsed/>
    <w:qFormat/>
    <w:rsid w:val="00CF5C61"/>
    <w:pPr>
      <w:ind w:left="720"/>
      <w:contextualSpacing/>
    </w:pPr>
  </w:style>
  <w:style w:type="table" w:styleId="ListTable1Light">
    <w:name w:val="List Table 1 Light"/>
    <w:basedOn w:val="TableNormal"/>
    <w:uiPriority w:val="46"/>
    <w:rsid w:val="00CF5C6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F5C61"/>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CF5C61"/>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CF5C61"/>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CF5C61"/>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CF5C61"/>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CF5C61"/>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CF5C6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F5C61"/>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CF5C61"/>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CF5C61"/>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CF5C61"/>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CF5C61"/>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CF5C61"/>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CF5C6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F5C61"/>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CF5C61"/>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CF5C61"/>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CF5C61"/>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CF5C61"/>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CF5C61"/>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CF5C6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61"/>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61"/>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61"/>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61"/>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61"/>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F5C61"/>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F5C6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F5C61"/>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CF5C61"/>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CF5C61"/>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CF5C61"/>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CF5C61"/>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CF5C61"/>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CF5C6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61"/>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61"/>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61"/>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61"/>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61"/>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F5C61"/>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F5C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CF5C61"/>
    <w:rPr>
      <w:rFonts w:ascii="Consolas" w:hAnsi="Consolas"/>
      <w:spacing w:val="4"/>
      <w:szCs w:val="20"/>
    </w:rPr>
  </w:style>
  <w:style w:type="table" w:styleId="MediumGrid1">
    <w:name w:val="Medium Grid 1"/>
    <w:basedOn w:val="TableNormal"/>
    <w:uiPriority w:val="67"/>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CF5C6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F5C61"/>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CF5C61"/>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CF5C61"/>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CF5C61"/>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CF5C61"/>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CF5C61"/>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F5C6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5C61"/>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CF5C61"/>
    <w:pPr>
      <w:spacing w:after="0"/>
    </w:pPr>
    <w:rPr>
      <w:spacing w:val="4"/>
    </w:rPr>
  </w:style>
  <w:style w:type="paragraph" w:styleId="NormalWeb">
    <w:name w:val="Normal (Web)"/>
    <w:basedOn w:val="Normal"/>
    <w:uiPriority w:val="99"/>
    <w:semiHidden/>
    <w:unhideWhenUsed/>
    <w:rsid w:val="00CF5C61"/>
    <w:rPr>
      <w:rFonts w:ascii="Times New Roman" w:hAnsi="Times New Roman" w:cs="Times New Roman"/>
      <w:sz w:val="24"/>
      <w:szCs w:val="24"/>
    </w:rPr>
  </w:style>
  <w:style w:type="paragraph" w:styleId="NormalIndent">
    <w:name w:val="Normal Indent"/>
    <w:basedOn w:val="Normal"/>
    <w:uiPriority w:val="99"/>
    <w:semiHidden/>
    <w:unhideWhenUsed/>
    <w:rsid w:val="00CF5C61"/>
    <w:pPr>
      <w:ind w:left="720"/>
    </w:pPr>
  </w:style>
  <w:style w:type="paragraph" w:styleId="NoteHeading">
    <w:name w:val="Note Heading"/>
    <w:basedOn w:val="Normal"/>
    <w:next w:val="Normal"/>
    <w:link w:val="NoteHeadingChar"/>
    <w:uiPriority w:val="99"/>
    <w:semiHidden/>
    <w:unhideWhenUsed/>
    <w:rsid w:val="00CF5C61"/>
    <w:pPr>
      <w:spacing w:after="0"/>
    </w:pPr>
  </w:style>
  <w:style w:type="character" w:customStyle="1" w:styleId="NoteHeadingChar">
    <w:name w:val="Note Heading Char"/>
    <w:basedOn w:val="DefaultParagraphFont"/>
    <w:link w:val="NoteHeading"/>
    <w:uiPriority w:val="99"/>
    <w:semiHidden/>
    <w:rsid w:val="00CF5C61"/>
    <w:rPr>
      <w:spacing w:val="4"/>
    </w:rPr>
  </w:style>
  <w:style w:type="character" w:styleId="PageNumber">
    <w:name w:val="page number"/>
    <w:basedOn w:val="DefaultParagraphFont"/>
    <w:uiPriority w:val="99"/>
    <w:semiHidden/>
    <w:unhideWhenUsed/>
    <w:rsid w:val="00CF5C61"/>
  </w:style>
  <w:style w:type="table" w:styleId="PlainTable1">
    <w:name w:val="Plain Table 1"/>
    <w:basedOn w:val="TableNormal"/>
    <w:uiPriority w:val="41"/>
    <w:rsid w:val="00CF5C6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6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6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6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6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F5C61"/>
    <w:pPr>
      <w:spacing w:after="0"/>
    </w:pPr>
    <w:rPr>
      <w:rFonts w:ascii="Consolas" w:hAnsi="Consolas"/>
      <w:szCs w:val="21"/>
    </w:rPr>
  </w:style>
  <w:style w:type="character" w:customStyle="1" w:styleId="PlainTextChar">
    <w:name w:val="Plain Text Char"/>
    <w:basedOn w:val="DefaultParagraphFont"/>
    <w:link w:val="PlainText"/>
    <w:uiPriority w:val="99"/>
    <w:semiHidden/>
    <w:rsid w:val="00CF5C61"/>
    <w:rPr>
      <w:rFonts w:ascii="Consolas" w:hAnsi="Consolas"/>
      <w:spacing w:val="4"/>
      <w:szCs w:val="21"/>
    </w:rPr>
  </w:style>
  <w:style w:type="paragraph" w:styleId="Quote">
    <w:name w:val="Quote"/>
    <w:basedOn w:val="Normal"/>
    <w:next w:val="Normal"/>
    <w:link w:val="QuoteChar"/>
    <w:uiPriority w:val="29"/>
    <w:semiHidden/>
    <w:unhideWhenUsed/>
    <w:qFormat/>
    <w:rsid w:val="00DC230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DC2307"/>
    <w:rPr>
      <w:i/>
      <w:iCs/>
      <w:color w:val="404040" w:themeColor="text1" w:themeTint="BF"/>
      <w:spacing w:val="4"/>
    </w:rPr>
  </w:style>
  <w:style w:type="character" w:styleId="Strong">
    <w:name w:val="Strong"/>
    <w:basedOn w:val="DefaultParagraphFont"/>
    <w:uiPriority w:val="22"/>
    <w:semiHidden/>
    <w:unhideWhenUsed/>
    <w:qFormat/>
    <w:rsid w:val="00CF5C61"/>
    <w:rPr>
      <w:b/>
      <w:bCs/>
    </w:rPr>
  </w:style>
  <w:style w:type="paragraph" w:styleId="Subtitle">
    <w:name w:val="Subtitle"/>
    <w:basedOn w:val="Normal"/>
    <w:link w:val="SubtitleChar"/>
    <w:uiPriority w:val="11"/>
    <w:semiHidden/>
    <w:unhideWhenUsed/>
    <w:qFormat/>
    <w:rsid w:val="0041439B"/>
    <w:pPr>
      <w:numPr>
        <w:ilvl w:val="1"/>
      </w:numPr>
      <w:spacing w:after="160"/>
      <w:ind w:left="72"/>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41439B"/>
    <w:rPr>
      <w:rFonts w:eastAsiaTheme="minorEastAsia"/>
      <w:color w:val="5A5A5A" w:themeColor="text1" w:themeTint="A5"/>
    </w:rPr>
  </w:style>
  <w:style w:type="character" w:styleId="SubtleEmphasis">
    <w:name w:val="Subtle Emphasis"/>
    <w:basedOn w:val="DefaultParagraphFont"/>
    <w:uiPriority w:val="10"/>
    <w:qFormat/>
    <w:rsid w:val="00A979E1"/>
    <w:rPr>
      <w:i/>
      <w:iCs/>
      <w:color w:val="auto"/>
    </w:rPr>
  </w:style>
  <w:style w:type="table" w:styleId="Table3Deffects1">
    <w:name w:val="Table 3D effects 1"/>
    <w:basedOn w:val="TableNormal"/>
    <w:uiPriority w:val="99"/>
    <w:semiHidden/>
    <w:unhideWhenUsed/>
    <w:rsid w:val="00CF5C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F5C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F5C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F5C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F5C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F5C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F5C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F5C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F5C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F5C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F5C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F5C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F5C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F5C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F5C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5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F5C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F5C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F5C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F5C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F5C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F5C6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F5C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F5C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F5C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F5C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F5C61"/>
    <w:pPr>
      <w:spacing w:after="0"/>
      <w:ind w:left="220" w:hanging="220"/>
    </w:pPr>
  </w:style>
  <w:style w:type="paragraph" w:styleId="TableofFigures">
    <w:name w:val="table of figures"/>
    <w:basedOn w:val="Normal"/>
    <w:next w:val="Normal"/>
    <w:uiPriority w:val="99"/>
    <w:semiHidden/>
    <w:unhideWhenUsed/>
    <w:rsid w:val="00CF5C61"/>
    <w:pPr>
      <w:spacing w:after="0"/>
    </w:pPr>
  </w:style>
  <w:style w:type="table" w:styleId="TableProfessional">
    <w:name w:val="Table Professional"/>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F5C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F5C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F5C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F5C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F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F5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F5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F5C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41439B"/>
    <w:pPr>
      <w:contextualSpacing/>
    </w:pPr>
    <w:rPr>
      <w:rFonts w:asciiTheme="majorHAnsi" w:eastAsiaTheme="majorEastAsia" w:hAnsiTheme="majorHAnsi" w:cstheme="majorBidi"/>
      <w:color w:val="9F2936" w:themeColor="accent2"/>
      <w:spacing w:val="0"/>
      <w:sz w:val="50"/>
      <w:szCs w:val="50"/>
      <w:lang w:eastAsia="ja-JP"/>
    </w:rPr>
  </w:style>
  <w:style w:type="character" w:customStyle="1" w:styleId="TitleChar">
    <w:name w:val="Title Char"/>
    <w:basedOn w:val="DefaultParagraphFont"/>
    <w:link w:val="Title"/>
    <w:uiPriority w:val="1"/>
    <w:rsid w:val="0041439B"/>
    <w:rPr>
      <w:rFonts w:asciiTheme="majorHAnsi" w:eastAsiaTheme="majorEastAsia" w:hAnsiTheme="majorHAnsi" w:cstheme="majorBidi"/>
      <w:color w:val="9F2936" w:themeColor="accent2"/>
      <w:sz w:val="50"/>
      <w:szCs w:val="50"/>
      <w:lang w:eastAsia="ja-JP"/>
    </w:rPr>
  </w:style>
  <w:style w:type="paragraph" w:styleId="TOAHeading">
    <w:name w:val="toa heading"/>
    <w:basedOn w:val="Normal"/>
    <w:next w:val="Normal"/>
    <w:uiPriority w:val="99"/>
    <w:semiHidden/>
    <w:unhideWhenUsed/>
    <w:rsid w:val="00CF5C61"/>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F5C61"/>
    <w:pPr>
      <w:spacing w:after="100"/>
    </w:pPr>
  </w:style>
  <w:style w:type="paragraph" w:styleId="TOC2">
    <w:name w:val="toc 2"/>
    <w:basedOn w:val="Normal"/>
    <w:next w:val="Normal"/>
    <w:autoRedefine/>
    <w:uiPriority w:val="39"/>
    <w:semiHidden/>
    <w:unhideWhenUsed/>
    <w:rsid w:val="00CF5C61"/>
    <w:pPr>
      <w:spacing w:after="100"/>
      <w:ind w:left="220"/>
    </w:pPr>
  </w:style>
  <w:style w:type="paragraph" w:styleId="TOC3">
    <w:name w:val="toc 3"/>
    <w:basedOn w:val="Normal"/>
    <w:next w:val="Normal"/>
    <w:autoRedefine/>
    <w:uiPriority w:val="39"/>
    <w:semiHidden/>
    <w:unhideWhenUsed/>
    <w:rsid w:val="00CF5C61"/>
    <w:pPr>
      <w:spacing w:after="100"/>
      <w:ind w:left="440"/>
    </w:pPr>
  </w:style>
  <w:style w:type="paragraph" w:styleId="TOC4">
    <w:name w:val="toc 4"/>
    <w:basedOn w:val="Normal"/>
    <w:next w:val="Normal"/>
    <w:autoRedefine/>
    <w:uiPriority w:val="39"/>
    <w:semiHidden/>
    <w:unhideWhenUsed/>
    <w:rsid w:val="00CF5C61"/>
    <w:pPr>
      <w:spacing w:after="100"/>
      <w:ind w:left="660"/>
    </w:pPr>
  </w:style>
  <w:style w:type="paragraph" w:styleId="TOC5">
    <w:name w:val="toc 5"/>
    <w:basedOn w:val="Normal"/>
    <w:next w:val="Normal"/>
    <w:autoRedefine/>
    <w:uiPriority w:val="39"/>
    <w:semiHidden/>
    <w:unhideWhenUsed/>
    <w:rsid w:val="00CF5C61"/>
    <w:pPr>
      <w:spacing w:after="100"/>
      <w:ind w:left="880"/>
    </w:pPr>
  </w:style>
  <w:style w:type="paragraph" w:styleId="TOC6">
    <w:name w:val="toc 6"/>
    <w:basedOn w:val="Normal"/>
    <w:next w:val="Normal"/>
    <w:autoRedefine/>
    <w:uiPriority w:val="39"/>
    <w:semiHidden/>
    <w:unhideWhenUsed/>
    <w:rsid w:val="00CF5C61"/>
    <w:pPr>
      <w:spacing w:after="100"/>
      <w:ind w:left="1100"/>
    </w:pPr>
  </w:style>
  <w:style w:type="paragraph" w:styleId="TOC7">
    <w:name w:val="toc 7"/>
    <w:basedOn w:val="Normal"/>
    <w:next w:val="Normal"/>
    <w:autoRedefine/>
    <w:uiPriority w:val="39"/>
    <w:semiHidden/>
    <w:unhideWhenUsed/>
    <w:rsid w:val="00CF5C61"/>
    <w:pPr>
      <w:spacing w:after="100"/>
      <w:ind w:left="1320"/>
    </w:pPr>
  </w:style>
  <w:style w:type="paragraph" w:styleId="TOC8">
    <w:name w:val="toc 8"/>
    <w:basedOn w:val="Normal"/>
    <w:next w:val="Normal"/>
    <w:autoRedefine/>
    <w:uiPriority w:val="39"/>
    <w:semiHidden/>
    <w:unhideWhenUsed/>
    <w:rsid w:val="00CF5C61"/>
    <w:pPr>
      <w:spacing w:after="100"/>
      <w:ind w:left="1540"/>
    </w:pPr>
  </w:style>
  <w:style w:type="paragraph" w:styleId="TOC9">
    <w:name w:val="toc 9"/>
    <w:basedOn w:val="Normal"/>
    <w:next w:val="Normal"/>
    <w:autoRedefine/>
    <w:uiPriority w:val="39"/>
    <w:semiHidden/>
    <w:unhideWhenUsed/>
    <w:rsid w:val="00CF5C61"/>
    <w:pPr>
      <w:spacing w:after="100"/>
      <w:ind w:left="1760"/>
    </w:pPr>
  </w:style>
  <w:style w:type="paragraph" w:styleId="TOCHeading">
    <w:name w:val="TOC Heading"/>
    <w:basedOn w:val="Heading1"/>
    <w:next w:val="Normal"/>
    <w:uiPriority w:val="39"/>
    <w:semiHidden/>
    <w:unhideWhenUsed/>
    <w:qFormat/>
    <w:rsid w:val="00CF5C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mackenzie\AppData\Roaming\Microsoft\Templates\Meeting%20minutes%20with%20action%20item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B6191C037D4B4F9DADE0B28D168552" ma:contentTypeVersion="10" ma:contentTypeDescription="Create a new document." ma:contentTypeScope="" ma:versionID="ffaeb2bf8d882eca36ea8cc318d72955">
  <xsd:schema xmlns:xsd="http://www.w3.org/2001/XMLSchema" xmlns:xs="http://www.w3.org/2001/XMLSchema" xmlns:p="http://schemas.microsoft.com/office/2006/metadata/properties" xmlns:ns3="bde2bb99-6e0f-446e-86b1-e24f0f9d494c" xmlns:ns4="42991a98-1422-4108-8d20-03a0c88fe087" targetNamespace="http://schemas.microsoft.com/office/2006/metadata/properties" ma:root="true" ma:fieldsID="0d328c32a0258ea09d7dcff11735a975" ns3:_="" ns4:_="">
    <xsd:import namespace="bde2bb99-6e0f-446e-86b1-e24f0f9d494c"/>
    <xsd:import namespace="42991a98-1422-4108-8d20-03a0c88fe0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2bb99-6e0f-446e-86b1-e24f0f9d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91a98-1422-4108-8d20-03a0c88fe0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3C848D-2763-40DA-AE6E-3A33D8C74AF0}">
  <ds:schemaRefs>
    <ds:schemaRef ds:uri="http://schemas.microsoft.com/sharepoint/v3/contenttype/forms"/>
  </ds:schemaRefs>
</ds:datastoreItem>
</file>

<file path=customXml/itemProps3.xml><?xml version="1.0" encoding="utf-8"?>
<ds:datastoreItem xmlns:ds="http://schemas.openxmlformats.org/officeDocument/2006/customXml" ds:itemID="{B43061C8-2450-491B-B9A6-834F752E0ED8}">
  <ds:schemaRefs>
    <ds:schemaRef ds:uri="bde2bb99-6e0f-446e-86b1-e24f0f9d494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2991a98-1422-4108-8d20-03a0c88fe087"/>
    <ds:schemaRef ds:uri="http://www.w3.org/XML/1998/namespace"/>
    <ds:schemaRef ds:uri="http://purl.org/dc/dcmitype/"/>
  </ds:schemaRefs>
</ds:datastoreItem>
</file>

<file path=customXml/itemProps4.xml><?xml version="1.0" encoding="utf-8"?>
<ds:datastoreItem xmlns:ds="http://schemas.openxmlformats.org/officeDocument/2006/customXml" ds:itemID="{46E9C971-DACA-41BB-A32B-7A9C2C2A1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2bb99-6e0f-446e-86b1-e24f0f9d494c"/>
    <ds:schemaRef ds:uri="42991a98-1422-4108-8d20-03a0c88fe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C60716-D119-4F0A-ADEA-4D2FD2B5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with action items.dotx</Template>
  <TotalTime>0</TotalTime>
  <Pages>7</Pages>
  <Words>2431</Words>
  <Characters>13860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 MacKenzieMaine</dc:creator>
  <cp:lastModifiedBy>Linda Adams</cp:lastModifiedBy>
  <cp:revision>2</cp:revision>
  <cp:lastPrinted>2019-10-11T20:55:00Z</cp:lastPrinted>
  <dcterms:created xsi:type="dcterms:W3CDTF">2019-11-20T21:50:00Z</dcterms:created>
  <dcterms:modified xsi:type="dcterms:W3CDTF">2019-11-20T21:50:00Z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0x0101003AB6191C037D4B4F9DADE0B28D168552</vt:lpwstr>
  </property>
</Properties>
</file>