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BD" w:rsidRDefault="00530ADC" w:rsidP="00530ADC">
      <w:pPr>
        <w:pStyle w:val="Title"/>
      </w:pPr>
      <w:r>
        <w:t xml:space="preserve">8712 </w:t>
      </w:r>
      <w:r w:rsidR="00FB1867">
        <w:t xml:space="preserve">Rx </w:t>
      </w:r>
      <w:r>
        <w:t>Report</w:t>
      </w:r>
    </w:p>
    <w:p w:rsidR="00530ADC" w:rsidRDefault="00530ADC" w:rsidP="00530ADC">
      <w:r>
        <w:t xml:space="preserve">Updated </w:t>
      </w:r>
      <w:r w:rsidR="000B4941">
        <w:t>08/</w:t>
      </w:r>
      <w:r w:rsidR="00A47BC5">
        <w:t>06</w:t>
      </w:r>
      <w:r w:rsidR="000B4941">
        <w:t>/18</w:t>
      </w:r>
    </w:p>
    <w:p w:rsidR="0049097E" w:rsidRDefault="0049097E" w:rsidP="0049097E">
      <w:pPr>
        <w:pStyle w:val="Heading1"/>
      </w:pPr>
      <w:r>
        <w:t>Purpose</w:t>
      </w:r>
    </w:p>
    <w:p w:rsidR="002C6596" w:rsidRDefault="0049679F" w:rsidP="0049097E">
      <w:r>
        <w:t xml:space="preserve">Chapter </w:t>
      </w:r>
      <w:r w:rsidR="0035124C">
        <w:t>406</w:t>
      </w:r>
      <w:r>
        <w:t xml:space="preserve">, </w:t>
      </w:r>
      <w:r w:rsidR="00081C28" w:rsidRPr="00081C28">
        <w:t>S.P. 484</w:t>
      </w:r>
      <w:r w:rsidR="00081C28">
        <w:t xml:space="preserve">, </w:t>
      </w:r>
      <w:r w:rsidR="00081C28" w:rsidRPr="00081C28">
        <w:t>L.D. 1406</w:t>
      </w:r>
      <w:r w:rsidR="00081C28">
        <w:t>, Title 22, Section 8712, Subsection 5</w:t>
      </w:r>
      <w:r w:rsidR="0049097E">
        <w:t xml:space="preserve"> </w:t>
      </w:r>
      <w:r w:rsidR="00AD6F27">
        <w:t xml:space="preserve">of the Maine Statutes </w:t>
      </w:r>
      <w:r w:rsidR="0049097E">
        <w:t xml:space="preserve">requires MHDO to produce </w:t>
      </w:r>
      <w:r w:rsidR="0035124C">
        <w:t>three health data</w:t>
      </w:r>
      <w:r w:rsidR="0049097E">
        <w:t xml:space="preserve"> reports </w:t>
      </w:r>
      <w:r w:rsidR="0035124C">
        <w:t xml:space="preserve">with information about prescription drugs </w:t>
      </w:r>
      <w:r w:rsidR="0049097E">
        <w:t xml:space="preserve">in addition to the publication of </w:t>
      </w:r>
      <w:hyperlink r:id="rId7" w:history="1">
        <w:r w:rsidR="0049097E" w:rsidRPr="00144351">
          <w:rPr>
            <w:rStyle w:val="Hyperlink"/>
          </w:rPr>
          <w:t>www.comparemaine.org</w:t>
        </w:r>
      </w:hyperlink>
      <w:r w:rsidR="0049097E">
        <w:t xml:space="preserve">. </w:t>
      </w:r>
      <w:r>
        <w:t xml:space="preserve">The </w:t>
      </w:r>
      <w:r w:rsidR="00681AA9">
        <w:t>requirements of each report</w:t>
      </w:r>
      <w:r>
        <w:t xml:space="preserve"> are described below:</w:t>
      </w:r>
    </w:p>
    <w:p w:rsidR="0035124C" w:rsidRPr="0035124C" w:rsidRDefault="0035124C" w:rsidP="0035124C">
      <w:pPr>
        <w:autoSpaceDE w:val="0"/>
        <w:autoSpaceDN w:val="0"/>
        <w:ind w:left="720"/>
        <w:rPr>
          <w:i/>
        </w:rPr>
      </w:pPr>
      <w:r w:rsidRPr="0035124C">
        <w:rPr>
          <w:i/>
        </w:rPr>
        <w:t>A. The 25 most frequently prescribed drugs in the State;</w:t>
      </w:r>
    </w:p>
    <w:p w:rsidR="0035124C" w:rsidRPr="0035124C" w:rsidRDefault="0035124C" w:rsidP="0035124C">
      <w:pPr>
        <w:autoSpaceDE w:val="0"/>
        <w:autoSpaceDN w:val="0"/>
        <w:ind w:left="720"/>
        <w:rPr>
          <w:i/>
        </w:rPr>
      </w:pPr>
      <w:r w:rsidRPr="0035124C">
        <w:rPr>
          <w:i/>
        </w:rPr>
        <w:t>B. The 25 costliest drugs as determined by the total amount spent on those drugs in</w:t>
      </w:r>
    </w:p>
    <w:p w:rsidR="0035124C" w:rsidRPr="0035124C" w:rsidRDefault="0035124C" w:rsidP="0035124C">
      <w:pPr>
        <w:autoSpaceDE w:val="0"/>
        <w:autoSpaceDN w:val="0"/>
        <w:ind w:left="720"/>
        <w:rPr>
          <w:i/>
        </w:rPr>
      </w:pPr>
      <w:r w:rsidRPr="0035124C">
        <w:rPr>
          <w:i/>
        </w:rPr>
        <w:t>the State; and</w:t>
      </w:r>
    </w:p>
    <w:p w:rsidR="0035124C" w:rsidRPr="0035124C" w:rsidRDefault="0035124C" w:rsidP="0035124C">
      <w:pPr>
        <w:autoSpaceDE w:val="0"/>
        <w:autoSpaceDN w:val="0"/>
        <w:ind w:left="720"/>
        <w:rPr>
          <w:i/>
        </w:rPr>
      </w:pPr>
      <w:r w:rsidRPr="0035124C">
        <w:rPr>
          <w:i/>
        </w:rPr>
        <w:t>C. The 25 drugs with the highest year-over-year cost increases as determined by the total amount spent on those drugs in the State.</w:t>
      </w:r>
    </w:p>
    <w:p w:rsidR="0049097E" w:rsidRDefault="0049097E" w:rsidP="0035124C">
      <w:r>
        <w:t>The</w:t>
      </w:r>
      <w:r w:rsidR="00194261">
        <w:t xml:space="preserve"> above</w:t>
      </w:r>
      <w:r>
        <w:t xml:space="preserve"> language </w:t>
      </w:r>
      <w:r w:rsidR="00194261">
        <w:t xml:space="preserve">can be found in the </w:t>
      </w:r>
      <w:r>
        <w:t xml:space="preserve">statute </w:t>
      </w:r>
      <w:r w:rsidR="00AD6F27">
        <w:t>at the following URL</w:t>
      </w:r>
      <w:r>
        <w:t xml:space="preserve">: </w:t>
      </w:r>
      <w:r w:rsidR="0035124C" w:rsidRPr="0035124C">
        <w:rPr>
          <w:rStyle w:val="Hyperlink"/>
        </w:rPr>
        <w:t>http://legislature.maine.gov/bills/getPDF.asp?paper=SP0484&amp;item=5&amp;snum=128</w:t>
      </w:r>
      <w:r>
        <w:t>.</w:t>
      </w:r>
    </w:p>
    <w:p w:rsidR="00783DB7" w:rsidRDefault="00783DB7" w:rsidP="00783DB7">
      <w:pPr>
        <w:pStyle w:val="Heading1"/>
      </w:pPr>
      <w:r>
        <w:t>Proposed Methodology</w:t>
      </w:r>
    </w:p>
    <w:p w:rsidR="005761C2" w:rsidRDefault="00DB5242" w:rsidP="0089001D">
      <w:r>
        <w:t xml:space="preserve">The </w:t>
      </w:r>
      <w:r w:rsidR="00DA49A6">
        <w:t xml:space="preserve">8712 report </w:t>
      </w:r>
      <w:r>
        <w:t xml:space="preserve">tables will include a count of how frequently </w:t>
      </w:r>
      <w:r w:rsidR="00712D4F">
        <w:t xml:space="preserve">a </w:t>
      </w:r>
      <w:r>
        <w:t xml:space="preserve">particular </w:t>
      </w:r>
      <w:r w:rsidR="0035124C">
        <w:t>medication was prescribed</w:t>
      </w:r>
      <w:r>
        <w:t xml:space="preserve"> during the time frame</w:t>
      </w:r>
      <w:r w:rsidR="000B4941">
        <w:t xml:space="preserve"> and the total amount spent on those drugs</w:t>
      </w:r>
      <w:r w:rsidR="007E7BA5">
        <w:t xml:space="preserve">. </w:t>
      </w:r>
      <w:r w:rsidR="00B42A3A">
        <w:t xml:space="preserve">These tables will be based on </w:t>
      </w:r>
      <w:r w:rsidR="009D7395">
        <w:t xml:space="preserve">Maine </w:t>
      </w:r>
      <w:r w:rsidR="00B42A3A">
        <w:t>APCD data</w:t>
      </w:r>
      <w:r w:rsidR="00005D64">
        <w:t>, Pharmacy Claims only</w:t>
      </w:r>
      <w:r w:rsidR="00660ABD">
        <w:t>. T</w:t>
      </w:r>
      <w:r w:rsidR="00B42A3A">
        <w:t xml:space="preserve">he reporting time period will </w:t>
      </w:r>
      <w:r w:rsidR="0010143E">
        <w:t xml:space="preserve">represent </w:t>
      </w:r>
      <w:r w:rsidR="00660ABD">
        <w:t xml:space="preserve">12 months of data and will </w:t>
      </w:r>
      <w:r w:rsidR="0090287A">
        <w:t xml:space="preserve">consist of </w:t>
      </w:r>
      <w:r w:rsidR="00B42A3A">
        <w:t xml:space="preserve">the </w:t>
      </w:r>
      <w:r w:rsidR="00660ABD">
        <w:t xml:space="preserve">most recent </w:t>
      </w:r>
      <w:r w:rsidR="00B42A3A">
        <w:t>available data</w:t>
      </w:r>
      <w:r w:rsidR="009A30B7">
        <w:t xml:space="preserve">, </w:t>
      </w:r>
      <w:r w:rsidR="00660ABD">
        <w:t xml:space="preserve">as </w:t>
      </w:r>
      <w:r w:rsidR="009A30B7">
        <w:t>reflected in the release timeline</w:t>
      </w:r>
      <w:r w:rsidR="005255A9">
        <w:t xml:space="preserve"> </w:t>
      </w:r>
      <w:r w:rsidR="004D5777">
        <w:t>and</w:t>
      </w:r>
      <w:r w:rsidR="005255A9">
        <w:t xml:space="preserve"> the proposed work plan</w:t>
      </w:r>
      <w:r w:rsidR="00B42A3A">
        <w:t>.</w:t>
      </w:r>
      <w:r w:rsidR="00660ABD">
        <w:t xml:space="preserve"> </w:t>
      </w:r>
      <w:r w:rsidR="0090287A">
        <w:t xml:space="preserve">Additionally, data from </w:t>
      </w:r>
      <w:r w:rsidR="00660ABD">
        <w:t xml:space="preserve">the previous </w:t>
      </w:r>
      <w:r w:rsidR="004D5777">
        <w:t xml:space="preserve">12 months </w:t>
      </w:r>
      <w:r w:rsidR="00660ABD">
        <w:t xml:space="preserve">will </w:t>
      </w:r>
      <w:r w:rsidR="000B4941">
        <w:t xml:space="preserve">be analyzed </w:t>
      </w:r>
      <w:r w:rsidR="0090287A">
        <w:t xml:space="preserve">in order </w:t>
      </w:r>
      <w:r w:rsidR="000B4941">
        <w:t xml:space="preserve">to </w:t>
      </w:r>
      <w:r w:rsidR="0090287A">
        <w:t xml:space="preserve">produce </w:t>
      </w:r>
      <w:r w:rsidR="000B4941">
        <w:t>year-over-year cost increase</w:t>
      </w:r>
      <w:r w:rsidR="0090287A">
        <w:t xml:space="preserve"> measure</w:t>
      </w:r>
      <w:r w:rsidR="000B4941">
        <w:t>s</w:t>
      </w:r>
      <w:r w:rsidR="00660ABD">
        <w:t>.</w:t>
      </w:r>
    </w:p>
    <w:p w:rsidR="00390CAC" w:rsidRDefault="00390CAC" w:rsidP="0089001D">
      <w:r>
        <w:t xml:space="preserve">The output described above will be presented in three separate Tableau dashboards and made available publicly on the MHDO website. </w:t>
      </w:r>
      <w:r w:rsidR="00A36457">
        <w:t xml:space="preserve">On the website, </w:t>
      </w:r>
      <w:r w:rsidR="00A36457" w:rsidRPr="00566FB8">
        <w:t>there will be a drop-down menu available for the user to view data</w:t>
      </w:r>
      <w:r w:rsidR="00A36457">
        <w:rPr>
          <w:rFonts w:asciiTheme="majorHAnsi" w:hAnsiTheme="majorHAnsi" w:cstheme="majorHAnsi"/>
        </w:rPr>
        <w:t xml:space="preserve"> </w:t>
      </w:r>
      <w:r w:rsidR="00A36457">
        <w:t xml:space="preserve">each payer type: commercial, MaineCare, and Medicare. </w:t>
      </w:r>
      <w:r>
        <w:t>Additionally, a report will be produced in .pdf format, and will include the output available in Tableau, as well as a written summary of the results.</w:t>
      </w:r>
    </w:p>
    <w:p w:rsidR="008B37F9" w:rsidRPr="00A36457" w:rsidRDefault="00E07C98" w:rsidP="00544D75">
      <w:r>
        <w:t>A</w:t>
      </w:r>
      <w:r w:rsidR="005761C2">
        <w:t xml:space="preserve"> complete</w:t>
      </w:r>
      <w:r w:rsidR="0089001D">
        <w:t xml:space="preserve"> list of the proposed table</w:t>
      </w:r>
      <w:r w:rsidR="00596B76">
        <w:t>s and some example table</w:t>
      </w:r>
      <w:r w:rsidR="00194261">
        <w:t xml:space="preserve"> shells</w:t>
      </w:r>
      <w:r>
        <w:t xml:space="preserve"> </w:t>
      </w:r>
      <w:r w:rsidR="00390CAC">
        <w:t xml:space="preserve">to be included in Tableau dashboards and the written report </w:t>
      </w:r>
      <w:r>
        <w:t>are provided at the end of this document</w:t>
      </w:r>
      <w:r w:rsidR="00194261">
        <w:t xml:space="preserve">. </w:t>
      </w:r>
      <w:r w:rsidR="00544D75">
        <w:t xml:space="preserve"> </w:t>
      </w:r>
      <w:r w:rsidR="000B4941">
        <w:t xml:space="preserve">These tables will be produced for each payer type: commercial, </w:t>
      </w:r>
      <w:r w:rsidR="00691017">
        <w:t>MaineCare</w:t>
      </w:r>
      <w:r w:rsidR="000B4941">
        <w:t>, and Medicare.</w:t>
      </w:r>
      <w:r w:rsidR="004D5777">
        <w:t xml:space="preserve"> </w:t>
      </w:r>
      <w:r w:rsidR="005255A9">
        <w:t>Overall versions of these tables</w:t>
      </w:r>
      <w:r w:rsidR="004D5777">
        <w:t>—across all payer types—</w:t>
      </w:r>
      <w:r w:rsidR="005255A9">
        <w:t xml:space="preserve">will </w:t>
      </w:r>
      <w:r w:rsidR="000B4941">
        <w:t>not be available</w:t>
      </w:r>
      <w:r w:rsidR="005255A9">
        <w:t xml:space="preserve">, due to the lag </w:t>
      </w:r>
      <w:r w:rsidR="005761C2">
        <w:t xml:space="preserve">in availability </w:t>
      </w:r>
      <w:r w:rsidR="005255A9">
        <w:t>for Medicare data.</w:t>
      </w:r>
    </w:p>
    <w:p w:rsidR="006236CD" w:rsidRPr="00BE6889" w:rsidRDefault="006236CD" w:rsidP="00544D75">
      <w:pPr>
        <w:rPr>
          <w:sz w:val="14"/>
        </w:rPr>
      </w:pPr>
      <w:r>
        <w:t xml:space="preserve">As part of the development of this report, </w:t>
      </w:r>
      <w:r w:rsidR="00DB1D45">
        <w:t xml:space="preserve">as proposed in the draft workplan, </w:t>
      </w:r>
      <w:r>
        <w:t xml:space="preserve">an investigation will be conducted into the best way to distinguish </w:t>
      </w:r>
      <w:r w:rsidRPr="00BE6889">
        <w:rPr>
          <w:i/>
        </w:rPr>
        <w:t>brand name</w:t>
      </w:r>
      <w:r>
        <w:t xml:space="preserve"> versus </w:t>
      </w:r>
      <w:r w:rsidRPr="00BE6889">
        <w:rPr>
          <w:i/>
        </w:rPr>
        <w:t>generic</w:t>
      </w:r>
      <w:r>
        <w:t xml:space="preserve"> drugs in prescription </w:t>
      </w:r>
      <w:r w:rsidR="004D4A9A">
        <w:t xml:space="preserve">claims </w:t>
      </w:r>
      <w:r>
        <w:t xml:space="preserve">data. </w:t>
      </w:r>
      <w:r w:rsidR="004D4A9A">
        <w:lastRenderedPageBreak/>
        <w:t xml:space="preserve">The </w:t>
      </w:r>
      <w:r w:rsidR="004D4A9A" w:rsidRPr="004D4A9A">
        <w:t>American Hospital Formulary Service (AHFS)</w:t>
      </w:r>
      <w:r w:rsidR="004D4A9A">
        <w:t xml:space="preserve"> Drug Information </w:t>
      </w:r>
      <w:r w:rsidR="00566FB8">
        <w:t xml:space="preserve">may be the most effective way to categorize drugs on this axis. </w:t>
      </w:r>
      <w:r>
        <w:t xml:space="preserve">An intermediate deliverable will include a recommendation on whether </w:t>
      </w:r>
      <w:r w:rsidR="00566665">
        <w:t xml:space="preserve">possible </w:t>
      </w:r>
      <w:r>
        <w:t xml:space="preserve">and how to distinguish between brand name and generic drugs in the </w:t>
      </w:r>
      <w:r w:rsidR="00706ACF">
        <w:t>final report tables.</w:t>
      </w:r>
      <w:r w:rsidR="00A36457">
        <w:t xml:space="preserve"> Depending on the results of our investigation, there may be a drop-down menu available on the website for the user to view data </w:t>
      </w:r>
      <w:r w:rsidR="00241459">
        <w:t>by</w:t>
      </w:r>
      <w:r w:rsidR="00A36457">
        <w:t xml:space="preserve"> drug type: brand-name, generic, or overall.</w:t>
      </w:r>
    </w:p>
    <w:p w:rsidR="009E4052" w:rsidRPr="008E3604" w:rsidRDefault="009E4052" w:rsidP="009E4052">
      <w:pPr>
        <w:rPr>
          <w:rFonts w:asciiTheme="majorHAnsi" w:hAnsiTheme="majorHAnsi" w:cstheme="majorHAnsi"/>
        </w:rPr>
      </w:pPr>
      <w:r w:rsidRPr="008E3604">
        <w:rPr>
          <w:rFonts w:asciiTheme="majorHAnsi" w:hAnsiTheme="majorHAnsi" w:cstheme="majorHAnsi"/>
        </w:rPr>
        <w:t xml:space="preserve">Table </w:t>
      </w:r>
      <w:r>
        <w:rPr>
          <w:rFonts w:asciiTheme="majorHAnsi" w:hAnsiTheme="majorHAnsi" w:cstheme="majorHAnsi"/>
        </w:rPr>
        <w:t>A</w:t>
      </w:r>
      <w:r w:rsidRPr="008E3604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Summary of Data Sources</w:t>
      </w:r>
      <w:r w:rsidR="00043E80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Reporting Time Period</w:t>
      </w:r>
      <w:r w:rsidR="00043E8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043E80">
        <w:rPr>
          <w:rFonts w:asciiTheme="majorHAnsi" w:hAnsiTheme="majorHAnsi" w:cstheme="majorHAnsi"/>
        </w:rPr>
        <w:t>by Payer Type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919"/>
        <w:gridCol w:w="1271"/>
        <w:gridCol w:w="2192"/>
        <w:gridCol w:w="1980"/>
      </w:tblGrid>
      <w:tr w:rsidR="00E07C98" w:rsidRPr="005761C2" w:rsidTr="00972B0E">
        <w:trPr>
          <w:tblHeader/>
          <w:jc w:val="center"/>
        </w:trPr>
        <w:tc>
          <w:tcPr>
            <w:tcW w:w="2998" w:type="dxa"/>
            <w:shd w:val="clear" w:color="auto" w:fill="2F5496" w:themeFill="accent5" w:themeFillShade="BF"/>
            <w:vAlign w:val="center"/>
          </w:tcPr>
          <w:p w:rsidR="00E07C98" w:rsidRPr="000E391B" w:rsidRDefault="00E07C98" w:rsidP="00972B0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39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Table Set</w:t>
            </w:r>
          </w:p>
        </w:tc>
        <w:tc>
          <w:tcPr>
            <w:tcW w:w="919" w:type="dxa"/>
            <w:shd w:val="clear" w:color="auto" w:fill="2F5496" w:themeFill="accent5" w:themeFillShade="BF"/>
            <w:vAlign w:val="center"/>
          </w:tcPr>
          <w:p w:rsidR="00E07C98" w:rsidRPr="000E391B" w:rsidRDefault="00E07C98" w:rsidP="00972B0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39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Source</w:t>
            </w:r>
          </w:p>
        </w:tc>
        <w:tc>
          <w:tcPr>
            <w:tcW w:w="1271" w:type="dxa"/>
            <w:shd w:val="clear" w:color="auto" w:fill="2F5496" w:themeFill="accent5" w:themeFillShade="BF"/>
            <w:vAlign w:val="center"/>
          </w:tcPr>
          <w:p w:rsidR="00E07C98" w:rsidRPr="00BB528B" w:rsidRDefault="00331642" w:rsidP="00972B0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Payer Type</w:t>
            </w:r>
          </w:p>
        </w:tc>
        <w:tc>
          <w:tcPr>
            <w:tcW w:w="2192" w:type="dxa"/>
            <w:shd w:val="clear" w:color="auto" w:fill="2F5496" w:themeFill="accent5" w:themeFillShade="BF"/>
            <w:vAlign w:val="center"/>
          </w:tcPr>
          <w:p w:rsidR="00E07C98" w:rsidRPr="000E391B" w:rsidRDefault="00E07C98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Recent Available</w:t>
            </w:r>
          </w:p>
          <w:p w:rsidR="00E07C98" w:rsidRPr="000E391B" w:rsidRDefault="00E07C98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39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Time Period</w:t>
            </w:r>
          </w:p>
        </w:tc>
        <w:tc>
          <w:tcPr>
            <w:tcW w:w="1980" w:type="dxa"/>
            <w:shd w:val="clear" w:color="auto" w:fill="2F5496" w:themeFill="accent5" w:themeFillShade="BF"/>
            <w:vAlign w:val="center"/>
          </w:tcPr>
          <w:p w:rsidR="00E07C98" w:rsidRPr="000E391B" w:rsidRDefault="00E07C98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39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Comparison </w:t>
            </w:r>
          </w:p>
          <w:p w:rsidR="00E07C98" w:rsidRPr="000E391B" w:rsidRDefault="00E07C98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39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Time Period</w:t>
            </w:r>
          </w:p>
        </w:tc>
      </w:tr>
      <w:tr w:rsidR="006236CD" w:rsidRPr="005761C2" w:rsidTr="009E4052">
        <w:trPr>
          <w:jc w:val="center"/>
        </w:trPr>
        <w:tc>
          <w:tcPr>
            <w:tcW w:w="2998" w:type="dxa"/>
            <w:vMerge w:val="restart"/>
            <w:tcBorders>
              <w:top w:val="single" w:sz="12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6236CD" w:rsidRPr="000E391B" w:rsidRDefault="006236CD" w:rsidP="006236CD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2</w:t>
            </w: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5 Most Frequent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ly</w:t>
            </w: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Prescribed Drugs</w:t>
            </w:r>
          </w:p>
        </w:tc>
        <w:tc>
          <w:tcPr>
            <w:tcW w:w="919" w:type="dxa"/>
            <w:vMerge w:val="restart"/>
            <w:tcBorders>
              <w:top w:val="single" w:sz="4" w:space="0" w:color="D9E2F3" w:themeColor="accent5" w:themeTint="33"/>
            </w:tcBorders>
            <w:vAlign w:val="center"/>
          </w:tcPr>
          <w:p w:rsidR="006236CD" w:rsidRPr="000E391B" w:rsidRDefault="006236CD" w:rsidP="006236CD">
            <w:pPr>
              <w:rPr>
                <w:rFonts w:ascii="Arial" w:hAnsi="Arial" w:cs="Arial"/>
                <w:sz w:val="18"/>
                <w:szCs w:val="18"/>
              </w:rPr>
            </w:pPr>
            <w:r w:rsidRPr="000E391B">
              <w:rPr>
                <w:rFonts w:ascii="Arial" w:hAnsi="Arial" w:cs="Arial"/>
                <w:sz w:val="18"/>
                <w:szCs w:val="18"/>
              </w:rPr>
              <w:t>APCD</w:t>
            </w:r>
          </w:p>
        </w:tc>
        <w:tc>
          <w:tcPr>
            <w:tcW w:w="1271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6236CD" w:rsidRDefault="006236CD" w:rsidP="0062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Commercial, MaineCare</w:t>
            </w:r>
          </w:p>
        </w:tc>
        <w:tc>
          <w:tcPr>
            <w:tcW w:w="2192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6236CD" w:rsidRPr="000E391B" w:rsidRDefault="006236CD" w:rsidP="00623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Q</w:t>
            </w:r>
            <w:r w:rsidR="00A3645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2018 Q</w:t>
            </w:r>
            <w:r w:rsidR="00A364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6236CD" w:rsidRPr="000E391B" w:rsidRDefault="006236CD" w:rsidP="00623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 Q</w:t>
            </w:r>
            <w:r w:rsidR="00A3645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2017 Q</w:t>
            </w:r>
            <w:r w:rsidR="00A364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236CD" w:rsidRPr="005761C2" w:rsidTr="009E4052">
        <w:trPr>
          <w:jc w:val="center"/>
        </w:trPr>
        <w:tc>
          <w:tcPr>
            <w:tcW w:w="2998" w:type="dxa"/>
            <w:vMerge/>
            <w:tcBorders>
              <w:bottom w:val="single" w:sz="12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6236CD" w:rsidRPr="00AD4AE2" w:rsidRDefault="006236CD" w:rsidP="006236CD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bookmarkStart w:id="0" w:name="_Hlk521324396"/>
          </w:p>
        </w:tc>
        <w:tc>
          <w:tcPr>
            <w:tcW w:w="919" w:type="dxa"/>
            <w:vMerge/>
            <w:tcBorders>
              <w:bottom w:val="single" w:sz="4" w:space="0" w:color="D9E2F3" w:themeColor="accent5" w:themeTint="33"/>
            </w:tcBorders>
            <w:vAlign w:val="center"/>
          </w:tcPr>
          <w:p w:rsidR="006236CD" w:rsidRPr="005761C2" w:rsidRDefault="006236CD" w:rsidP="0062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6236CD" w:rsidRDefault="006236CD" w:rsidP="0062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2192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6236CD" w:rsidRDefault="006236CD" w:rsidP="00623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2017 </w:t>
            </w:r>
            <w:r w:rsidR="00A36457">
              <w:rPr>
                <w:rFonts w:ascii="Arial" w:hAnsi="Arial" w:cs="Arial"/>
                <w:sz w:val="18"/>
                <w:szCs w:val="18"/>
              </w:rPr>
              <w:t>Q1 – Q</w:t>
            </w:r>
            <w:r w:rsidR="003272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6236CD" w:rsidRDefault="006236CD" w:rsidP="00623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 Q</w:t>
            </w:r>
            <w:r w:rsidR="00A36457">
              <w:rPr>
                <w:rFonts w:ascii="Arial" w:hAnsi="Arial" w:cs="Arial"/>
                <w:sz w:val="18"/>
                <w:szCs w:val="18"/>
              </w:rPr>
              <w:t>1 – Q4</w:t>
            </w:r>
          </w:p>
        </w:tc>
      </w:tr>
      <w:bookmarkEnd w:id="0"/>
      <w:tr w:rsidR="00A36457" w:rsidRPr="005761C2" w:rsidTr="009E4052">
        <w:trPr>
          <w:jc w:val="center"/>
        </w:trPr>
        <w:tc>
          <w:tcPr>
            <w:tcW w:w="2998" w:type="dxa"/>
            <w:vMerge w:val="restart"/>
            <w:tcBorders>
              <w:top w:val="single" w:sz="12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36457" w:rsidRPr="000E391B" w:rsidRDefault="00A36457" w:rsidP="00A36457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2</w:t>
            </w: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Costliest Drugs</w:t>
            </w:r>
          </w:p>
        </w:tc>
        <w:tc>
          <w:tcPr>
            <w:tcW w:w="919" w:type="dxa"/>
            <w:vMerge w:val="restart"/>
            <w:tcBorders>
              <w:top w:val="single" w:sz="4" w:space="0" w:color="D9E2F3" w:themeColor="accent5" w:themeTint="33"/>
            </w:tcBorders>
            <w:vAlign w:val="center"/>
          </w:tcPr>
          <w:p w:rsidR="00A36457" w:rsidRPr="000E391B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  <w:r w:rsidRPr="000E391B">
              <w:rPr>
                <w:rFonts w:ascii="Arial" w:hAnsi="Arial" w:cs="Arial"/>
                <w:sz w:val="18"/>
                <w:szCs w:val="18"/>
              </w:rPr>
              <w:t>APCD</w:t>
            </w:r>
          </w:p>
        </w:tc>
        <w:tc>
          <w:tcPr>
            <w:tcW w:w="1271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BB528B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Commercial, MaineCare</w:t>
            </w:r>
          </w:p>
        </w:tc>
        <w:tc>
          <w:tcPr>
            <w:tcW w:w="2192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0E391B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Q3 – 2018 Q2</w:t>
            </w:r>
          </w:p>
        </w:tc>
        <w:tc>
          <w:tcPr>
            <w:tcW w:w="1980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0E391B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 Q3 – 2017 Q2</w:t>
            </w:r>
          </w:p>
        </w:tc>
      </w:tr>
      <w:tr w:rsidR="00A36457" w:rsidRPr="005761C2" w:rsidTr="009E4052">
        <w:trPr>
          <w:jc w:val="center"/>
        </w:trPr>
        <w:tc>
          <w:tcPr>
            <w:tcW w:w="2998" w:type="dxa"/>
            <w:vMerge/>
            <w:tcBorders>
              <w:bottom w:val="single" w:sz="12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36457" w:rsidRPr="00AD4AE2" w:rsidRDefault="00A36457" w:rsidP="00A36457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single" w:sz="4" w:space="0" w:color="D9E2F3" w:themeColor="accent5" w:themeTint="33"/>
            </w:tcBorders>
            <w:vAlign w:val="center"/>
          </w:tcPr>
          <w:p w:rsidR="00A36457" w:rsidRPr="005761C2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BB528B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2192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BB528B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Q1 – Q</w:t>
            </w:r>
            <w:r w:rsidR="003272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5761C2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 Q1 – Q4</w:t>
            </w:r>
          </w:p>
        </w:tc>
      </w:tr>
      <w:tr w:rsidR="00A36457" w:rsidRPr="005761C2" w:rsidTr="009E4052">
        <w:trPr>
          <w:jc w:val="center"/>
        </w:trPr>
        <w:tc>
          <w:tcPr>
            <w:tcW w:w="2998" w:type="dxa"/>
            <w:vMerge w:val="restart"/>
            <w:tcBorders>
              <w:top w:val="single" w:sz="12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36457" w:rsidRPr="000E391B" w:rsidRDefault="00A36457" w:rsidP="00A36457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2</w:t>
            </w:r>
            <w:r w:rsidRPr="000E391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Drugs With Highest Year-Over-Year (YOY) Cost Increases</w:t>
            </w:r>
          </w:p>
        </w:tc>
        <w:tc>
          <w:tcPr>
            <w:tcW w:w="919" w:type="dxa"/>
            <w:vMerge w:val="restart"/>
            <w:tcBorders>
              <w:top w:val="single" w:sz="4" w:space="0" w:color="D9E2F3" w:themeColor="accent5" w:themeTint="33"/>
            </w:tcBorders>
            <w:vAlign w:val="center"/>
          </w:tcPr>
          <w:p w:rsidR="00A36457" w:rsidRPr="000E391B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  <w:r w:rsidRPr="000E391B">
              <w:rPr>
                <w:rFonts w:ascii="Arial" w:hAnsi="Arial" w:cs="Arial"/>
                <w:sz w:val="18"/>
                <w:szCs w:val="18"/>
              </w:rPr>
              <w:t>APCD</w:t>
            </w:r>
          </w:p>
        </w:tc>
        <w:tc>
          <w:tcPr>
            <w:tcW w:w="1271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BB528B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Commercial, MaineCare</w:t>
            </w:r>
          </w:p>
        </w:tc>
        <w:tc>
          <w:tcPr>
            <w:tcW w:w="2192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0E391B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Q3 – 2018 Q2</w:t>
            </w:r>
          </w:p>
        </w:tc>
        <w:tc>
          <w:tcPr>
            <w:tcW w:w="1980" w:type="dxa"/>
            <w:tcBorders>
              <w:top w:val="single" w:sz="4" w:space="0" w:color="D9E2F3" w:themeColor="accent5" w:themeTint="33"/>
              <w:bottom w:val="single" w:sz="4" w:space="0" w:color="D9E2F3" w:themeColor="accent5" w:themeTint="33"/>
            </w:tcBorders>
            <w:vAlign w:val="center"/>
          </w:tcPr>
          <w:p w:rsidR="00A36457" w:rsidRPr="000E391B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 Q3 – 2017 Q2</w:t>
            </w:r>
          </w:p>
        </w:tc>
      </w:tr>
      <w:tr w:rsidR="00A36457" w:rsidRPr="005761C2" w:rsidTr="009E4052">
        <w:trPr>
          <w:jc w:val="center"/>
        </w:trPr>
        <w:tc>
          <w:tcPr>
            <w:tcW w:w="2998" w:type="dxa"/>
            <w:vMerge/>
            <w:tcBorders>
              <w:bottom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A36457" w:rsidRPr="00AD4AE2" w:rsidRDefault="00A36457" w:rsidP="00A36457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:rsidR="00A36457" w:rsidRPr="005761C2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D9E2F3" w:themeColor="accent5" w:themeTint="33"/>
              <w:bottom w:val="single" w:sz="12" w:space="0" w:color="2F5496" w:themeColor="accent5" w:themeShade="BF"/>
            </w:tcBorders>
            <w:vAlign w:val="center"/>
          </w:tcPr>
          <w:p w:rsidR="00A36457" w:rsidRPr="00BB528B" w:rsidRDefault="00A36457" w:rsidP="00A36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2192" w:type="dxa"/>
            <w:tcBorders>
              <w:top w:val="single" w:sz="4" w:space="0" w:color="D9E2F3" w:themeColor="accent5" w:themeTint="33"/>
              <w:bottom w:val="single" w:sz="12" w:space="0" w:color="2F5496" w:themeColor="accent5" w:themeShade="BF"/>
            </w:tcBorders>
            <w:vAlign w:val="center"/>
          </w:tcPr>
          <w:p w:rsidR="00A36457" w:rsidRPr="00BB528B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Q1 – Q</w:t>
            </w:r>
            <w:r w:rsidR="003272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D9E2F3" w:themeColor="accent5" w:themeTint="33"/>
              <w:bottom w:val="single" w:sz="12" w:space="0" w:color="2F5496" w:themeColor="accent5" w:themeShade="BF"/>
            </w:tcBorders>
            <w:vAlign w:val="center"/>
          </w:tcPr>
          <w:p w:rsidR="00A36457" w:rsidRPr="005761C2" w:rsidRDefault="00A36457" w:rsidP="00A364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 Q1 – Q4</w:t>
            </w:r>
          </w:p>
        </w:tc>
      </w:tr>
    </w:tbl>
    <w:p w:rsidR="00E07C98" w:rsidRDefault="00E07C98" w:rsidP="00544D75"/>
    <w:p w:rsidR="00765123" w:rsidRDefault="0076512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44D75" w:rsidRDefault="00B920C5" w:rsidP="00B920C5">
      <w:pPr>
        <w:pStyle w:val="Heading1"/>
      </w:pPr>
      <w:r w:rsidRPr="00B920C5">
        <w:t>Table Shell</w:t>
      </w:r>
      <w:r w:rsidR="00B209A6">
        <w:t xml:space="preserve"> Examples</w:t>
      </w:r>
    </w:p>
    <w:p w:rsidR="00863287" w:rsidRDefault="00863287" w:rsidP="00710F21">
      <w:pPr>
        <w:spacing w:after="0"/>
        <w:rPr>
          <w:rFonts w:asciiTheme="majorHAnsi" w:hAnsiTheme="majorHAnsi" w:cstheme="majorHAnsi"/>
        </w:rPr>
      </w:pPr>
      <w:r w:rsidRPr="008E3604">
        <w:rPr>
          <w:rFonts w:asciiTheme="majorHAnsi" w:hAnsiTheme="majorHAnsi" w:cstheme="majorHAnsi"/>
        </w:rPr>
        <w:t xml:space="preserve">Table 1. </w:t>
      </w:r>
      <w:r>
        <w:rPr>
          <w:rFonts w:asciiTheme="majorHAnsi" w:hAnsiTheme="majorHAnsi" w:cstheme="majorHAnsi"/>
        </w:rPr>
        <w:t>Top 25 Most Frequent</w:t>
      </w:r>
      <w:r w:rsidR="006071D5">
        <w:rPr>
          <w:rFonts w:asciiTheme="majorHAnsi" w:hAnsiTheme="majorHAnsi" w:cstheme="majorHAnsi"/>
        </w:rPr>
        <w:t>ly</w:t>
      </w:r>
      <w:r>
        <w:rPr>
          <w:rFonts w:asciiTheme="majorHAnsi" w:hAnsiTheme="majorHAnsi" w:cstheme="majorHAnsi"/>
        </w:rPr>
        <w:t xml:space="preserve"> </w:t>
      </w:r>
      <w:r w:rsidR="006071D5">
        <w:rPr>
          <w:rFonts w:asciiTheme="majorHAnsi" w:hAnsiTheme="majorHAnsi" w:cstheme="majorHAnsi"/>
        </w:rPr>
        <w:t>Prescribed Drugs</w:t>
      </w:r>
      <w:r>
        <w:rPr>
          <w:rFonts w:asciiTheme="majorHAnsi" w:hAnsiTheme="majorHAnsi" w:cstheme="majorHAnsi"/>
        </w:rPr>
        <w:t>, Maine</w:t>
      </w:r>
    </w:p>
    <w:p w:rsidR="00863287" w:rsidRPr="00CE27FB" w:rsidRDefault="00863287" w:rsidP="00863287">
      <w:pPr>
        <w:rPr>
          <w:rFonts w:asciiTheme="majorHAnsi" w:hAnsiTheme="majorHAnsi" w:cstheme="majorHAnsi"/>
          <w:i/>
          <w:sz w:val="20"/>
        </w:rPr>
      </w:pPr>
      <w:r w:rsidRPr="00CE27FB">
        <w:rPr>
          <w:rFonts w:asciiTheme="majorHAnsi" w:hAnsiTheme="majorHAnsi" w:cstheme="majorHAnsi"/>
          <w:i/>
          <w:sz w:val="20"/>
        </w:rPr>
        <w:t xml:space="preserve">Table </w:t>
      </w:r>
      <w:r w:rsidR="00710F21" w:rsidRPr="00CE27FB">
        <w:rPr>
          <w:rFonts w:asciiTheme="majorHAnsi" w:hAnsiTheme="majorHAnsi" w:cstheme="majorHAnsi"/>
          <w:i/>
          <w:sz w:val="20"/>
        </w:rPr>
        <w:t xml:space="preserve">is </w:t>
      </w:r>
      <w:r w:rsidRPr="00CE27FB">
        <w:rPr>
          <w:rFonts w:asciiTheme="majorHAnsi" w:hAnsiTheme="majorHAnsi" w:cstheme="majorHAnsi"/>
          <w:i/>
          <w:sz w:val="20"/>
        </w:rPr>
        <w:t>sorted by column 3, Number of Prescriptions.</w:t>
      </w:r>
    </w:p>
    <w:tbl>
      <w:tblPr>
        <w:tblStyle w:val="GridTable1Light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505"/>
        <w:gridCol w:w="1748"/>
        <w:gridCol w:w="1748"/>
        <w:gridCol w:w="1748"/>
        <w:gridCol w:w="1748"/>
      </w:tblGrid>
      <w:tr w:rsidR="00667CD2" w:rsidRPr="008E3604" w:rsidTr="0013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A36457" w:rsidRPr="008E3604" w:rsidRDefault="00A36457" w:rsidP="003D6C2E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Rank</w:t>
            </w:r>
          </w:p>
        </w:tc>
        <w:tc>
          <w:tcPr>
            <w:tcW w:w="1505" w:type="dxa"/>
            <w:tcBorders>
              <w:left w:val="nil"/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A36457" w:rsidRPr="008E3604" w:rsidRDefault="00A36457" w:rsidP="003D6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Medication Name</w:t>
            </w: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A36457" w:rsidRDefault="00A3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Therapeutic Class</w:t>
            </w:r>
            <w:r w:rsidR="005D293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A36457" w:rsidRPr="008E3604" w:rsidRDefault="00A36457" w:rsidP="003D6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Number of Prescriptions</w:t>
            </w: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A36457" w:rsidRDefault="00A36457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Total Cost Per Year</w:t>
            </w: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A36457" w:rsidRPr="008E3604" w:rsidRDefault="00A36457" w:rsidP="003D6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Share of Prescriptions in State (%)</w:t>
            </w: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1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1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7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8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9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10</w:t>
            </w:r>
          </w:p>
        </w:tc>
        <w:tc>
          <w:tcPr>
            <w:tcW w:w="1505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11</w:t>
            </w:r>
          </w:p>
        </w:tc>
        <w:tc>
          <w:tcPr>
            <w:tcW w:w="1505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12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13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14</w:t>
            </w:r>
          </w:p>
        </w:tc>
        <w:tc>
          <w:tcPr>
            <w:tcW w:w="1505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  <w:hideMark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4472C4" w:themeColor="accent5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  <w:noWrap/>
            <w:vAlign w:val="center"/>
            <w:hideMark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4" w:space="0" w:color="4472C4" w:themeColor="accent5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16</w:t>
            </w:r>
          </w:p>
        </w:tc>
        <w:tc>
          <w:tcPr>
            <w:tcW w:w="1505" w:type="dxa"/>
            <w:tcBorders>
              <w:top w:val="single" w:sz="4" w:space="0" w:color="4472C4" w:themeColor="accent5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17</w:t>
            </w:r>
          </w:p>
        </w:tc>
        <w:tc>
          <w:tcPr>
            <w:tcW w:w="1505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18</w:t>
            </w:r>
          </w:p>
        </w:tc>
        <w:tc>
          <w:tcPr>
            <w:tcW w:w="1505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19</w:t>
            </w:r>
          </w:p>
        </w:tc>
        <w:tc>
          <w:tcPr>
            <w:tcW w:w="1505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20</w:t>
            </w:r>
          </w:p>
        </w:tc>
        <w:tc>
          <w:tcPr>
            <w:tcW w:w="1505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4" w:space="0" w:color="4472C4" w:themeColor="accent5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21</w:t>
            </w:r>
          </w:p>
        </w:tc>
        <w:tc>
          <w:tcPr>
            <w:tcW w:w="1505" w:type="dxa"/>
            <w:tcBorders>
              <w:top w:val="single" w:sz="4" w:space="0" w:color="4472C4" w:themeColor="accent5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4472C4" w:themeColor="accent5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22</w:t>
            </w:r>
          </w:p>
        </w:tc>
        <w:tc>
          <w:tcPr>
            <w:tcW w:w="1505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23</w:t>
            </w:r>
          </w:p>
        </w:tc>
        <w:tc>
          <w:tcPr>
            <w:tcW w:w="1505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24</w:t>
            </w:r>
          </w:p>
        </w:tc>
        <w:tc>
          <w:tcPr>
            <w:tcW w:w="1505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457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single" w:sz="2" w:space="0" w:color="F2F2F2" w:themeColor="background1" w:themeShade="F2"/>
              <w:bottom w:val="single" w:sz="1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</w:tcPr>
          <w:p w:rsidR="00A36457" w:rsidRPr="008E3604" w:rsidRDefault="00A36457" w:rsidP="003D6C2E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25</w:t>
            </w:r>
          </w:p>
        </w:tc>
        <w:tc>
          <w:tcPr>
            <w:tcW w:w="1505" w:type="dxa"/>
            <w:tcBorders>
              <w:bottom w:val="single" w:sz="12" w:space="0" w:color="2F5496" w:themeColor="accent5" w:themeShade="BF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  <w:noWrap/>
            <w:vAlign w:val="center"/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12" w:space="0" w:color="2F5496" w:themeColor="accent5" w:themeShade="BF"/>
            </w:tcBorders>
          </w:tcPr>
          <w:p w:rsidR="00A36457" w:rsidRPr="008E3604" w:rsidRDefault="00A36457" w:rsidP="003D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704E" w:rsidRPr="00A57E6A" w:rsidRDefault="0061766E" w:rsidP="00BE6889">
      <w:pPr>
        <w:tabs>
          <w:tab w:val="left" w:pos="360"/>
        </w:tabs>
        <w:ind w:left="360"/>
        <w:rPr>
          <w:sz w:val="14"/>
        </w:rPr>
      </w:pPr>
      <w:r w:rsidRPr="00A57E6A">
        <w:rPr>
          <w:i/>
          <w:sz w:val="18"/>
        </w:rPr>
        <w:t>Source</w:t>
      </w:r>
      <w:r w:rsidRPr="00A57E6A">
        <w:rPr>
          <w:sz w:val="18"/>
        </w:rPr>
        <w:t xml:space="preserve">: Maine </w:t>
      </w:r>
      <w:r w:rsidR="00863287">
        <w:rPr>
          <w:sz w:val="18"/>
        </w:rPr>
        <w:t xml:space="preserve">All-Payer Claims </w:t>
      </w:r>
      <w:r w:rsidRPr="00A57E6A">
        <w:rPr>
          <w:sz w:val="18"/>
        </w:rPr>
        <w:t>Data</w:t>
      </w:r>
      <w:r w:rsidR="00CB0B1C">
        <w:rPr>
          <w:sz w:val="18"/>
        </w:rPr>
        <w:t>, Pharmacy Claims</w:t>
      </w:r>
    </w:p>
    <w:p w:rsidR="00765123" w:rsidRDefault="00765123" w:rsidP="00710F21">
      <w:pPr>
        <w:spacing w:after="0"/>
        <w:rPr>
          <w:rFonts w:asciiTheme="majorHAnsi" w:hAnsiTheme="majorHAnsi" w:cstheme="majorHAnsi"/>
        </w:rPr>
      </w:pPr>
    </w:p>
    <w:p w:rsidR="00863287" w:rsidRDefault="00863287" w:rsidP="00710F21">
      <w:pPr>
        <w:spacing w:after="0"/>
        <w:rPr>
          <w:rFonts w:asciiTheme="majorHAnsi" w:hAnsiTheme="majorHAnsi" w:cstheme="majorHAnsi"/>
        </w:rPr>
      </w:pPr>
      <w:r w:rsidRPr="008E3604">
        <w:rPr>
          <w:rFonts w:asciiTheme="majorHAnsi" w:hAnsiTheme="majorHAnsi" w:cstheme="majorHAnsi"/>
        </w:rPr>
        <w:t xml:space="preserve">Table </w:t>
      </w:r>
      <w:r>
        <w:rPr>
          <w:rFonts w:asciiTheme="majorHAnsi" w:hAnsiTheme="majorHAnsi" w:cstheme="majorHAnsi"/>
        </w:rPr>
        <w:t>2</w:t>
      </w:r>
      <w:r w:rsidRPr="008E3604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Top 25 Costliest </w:t>
      </w:r>
      <w:r w:rsidR="006071D5">
        <w:rPr>
          <w:rFonts w:asciiTheme="majorHAnsi" w:hAnsiTheme="majorHAnsi" w:cstheme="majorHAnsi"/>
        </w:rPr>
        <w:t>Drugs</w:t>
      </w:r>
      <w:r>
        <w:rPr>
          <w:rFonts w:asciiTheme="majorHAnsi" w:hAnsiTheme="majorHAnsi" w:cstheme="majorHAnsi"/>
        </w:rPr>
        <w:t>, Maine</w:t>
      </w:r>
    </w:p>
    <w:p w:rsidR="00863287" w:rsidRPr="00CE27FB" w:rsidRDefault="00863287" w:rsidP="00863287">
      <w:pPr>
        <w:rPr>
          <w:rFonts w:asciiTheme="majorHAnsi" w:hAnsiTheme="majorHAnsi" w:cstheme="majorHAnsi"/>
          <w:i/>
          <w:sz w:val="20"/>
        </w:rPr>
      </w:pPr>
      <w:r w:rsidRPr="00CE27FB">
        <w:rPr>
          <w:rFonts w:asciiTheme="majorHAnsi" w:hAnsiTheme="majorHAnsi" w:cstheme="majorHAnsi"/>
          <w:i/>
          <w:sz w:val="20"/>
        </w:rPr>
        <w:t xml:space="preserve">Table </w:t>
      </w:r>
      <w:r w:rsidR="00710F21" w:rsidRPr="00CE27FB">
        <w:rPr>
          <w:rFonts w:asciiTheme="majorHAnsi" w:hAnsiTheme="majorHAnsi" w:cstheme="majorHAnsi"/>
          <w:i/>
          <w:sz w:val="20"/>
        </w:rPr>
        <w:t>is</w:t>
      </w:r>
      <w:r w:rsidRPr="00CE27FB">
        <w:rPr>
          <w:rFonts w:asciiTheme="majorHAnsi" w:hAnsiTheme="majorHAnsi" w:cstheme="majorHAnsi"/>
          <w:i/>
          <w:sz w:val="20"/>
        </w:rPr>
        <w:t xml:space="preserve"> sorted by column 4, Total Cost Per Year.</w:t>
      </w:r>
    </w:p>
    <w:tbl>
      <w:tblPr>
        <w:tblStyle w:val="GridTable1Light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530"/>
        <w:gridCol w:w="1710"/>
        <w:gridCol w:w="1710"/>
        <w:gridCol w:w="1710"/>
      </w:tblGrid>
      <w:tr w:rsidR="00667CD2" w:rsidRPr="008E3604" w:rsidTr="0013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3226C6" w:rsidRPr="008E3604" w:rsidRDefault="003226C6" w:rsidP="00A36457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left w:val="nil"/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3226C6" w:rsidRPr="008E3604" w:rsidRDefault="003226C6" w:rsidP="00A3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Medication Name</w:t>
            </w:r>
          </w:p>
        </w:tc>
        <w:tc>
          <w:tcPr>
            <w:tcW w:w="1530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3226C6" w:rsidRDefault="00322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Therapeutic Class</w:t>
            </w:r>
            <w:r w:rsidR="005D293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1710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3226C6" w:rsidRPr="008E3604" w:rsidRDefault="003226C6" w:rsidP="00A3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Number of Prescriptions</w:t>
            </w:r>
          </w:p>
        </w:tc>
        <w:tc>
          <w:tcPr>
            <w:tcW w:w="1710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3226C6" w:rsidRDefault="003226C6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Total Cost Per Year</w:t>
            </w:r>
          </w:p>
        </w:tc>
        <w:tc>
          <w:tcPr>
            <w:tcW w:w="1710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3226C6" w:rsidRPr="008E3604" w:rsidRDefault="003226C6" w:rsidP="00A3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Share of Prescriptions in State (%)</w:t>
            </w: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top w:val="single" w:sz="1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0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6</w:t>
            </w:r>
          </w:p>
        </w:tc>
        <w:tc>
          <w:tcPr>
            <w:tcW w:w="0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7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8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9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10</w:t>
            </w:r>
          </w:p>
        </w:tc>
        <w:tc>
          <w:tcPr>
            <w:tcW w:w="0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11</w:t>
            </w:r>
          </w:p>
        </w:tc>
        <w:tc>
          <w:tcPr>
            <w:tcW w:w="0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12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13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14</w:t>
            </w:r>
          </w:p>
        </w:tc>
        <w:tc>
          <w:tcPr>
            <w:tcW w:w="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15</w:t>
            </w:r>
          </w:p>
        </w:tc>
        <w:tc>
          <w:tcPr>
            <w:tcW w:w="0" w:type="dxa"/>
            <w:tcBorders>
              <w:bottom w:val="single" w:sz="4" w:space="0" w:color="4472C4" w:themeColor="accent5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4472C4" w:themeColor="accent5"/>
            </w:tcBorders>
            <w:noWrap/>
            <w:vAlign w:val="center"/>
            <w:hideMark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4472C4" w:themeColor="accent5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16</w:t>
            </w:r>
          </w:p>
        </w:tc>
        <w:tc>
          <w:tcPr>
            <w:tcW w:w="0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17</w:t>
            </w:r>
          </w:p>
        </w:tc>
        <w:tc>
          <w:tcPr>
            <w:tcW w:w="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18</w:t>
            </w:r>
          </w:p>
        </w:tc>
        <w:tc>
          <w:tcPr>
            <w:tcW w:w="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19</w:t>
            </w:r>
          </w:p>
        </w:tc>
        <w:tc>
          <w:tcPr>
            <w:tcW w:w="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20</w:t>
            </w:r>
          </w:p>
        </w:tc>
        <w:tc>
          <w:tcPr>
            <w:tcW w:w="0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4472C4" w:themeColor="accent5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21</w:t>
            </w:r>
          </w:p>
        </w:tc>
        <w:tc>
          <w:tcPr>
            <w:tcW w:w="0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22</w:t>
            </w:r>
          </w:p>
        </w:tc>
        <w:tc>
          <w:tcPr>
            <w:tcW w:w="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23</w:t>
            </w:r>
          </w:p>
        </w:tc>
        <w:tc>
          <w:tcPr>
            <w:tcW w:w="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24</w:t>
            </w:r>
          </w:p>
        </w:tc>
        <w:tc>
          <w:tcPr>
            <w:tcW w:w="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512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2" w:space="0" w:color="F2F2F2" w:themeColor="background1" w:themeShade="F2"/>
              <w:bottom w:val="single" w:sz="1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A36457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25</w:t>
            </w:r>
          </w:p>
        </w:tc>
        <w:tc>
          <w:tcPr>
            <w:tcW w:w="0" w:type="dxa"/>
            <w:tcBorders>
              <w:bottom w:val="single" w:sz="12" w:space="0" w:color="2F5496" w:themeColor="accent5" w:themeShade="BF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2F5496" w:themeColor="accent5" w:themeShade="BF"/>
            </w:tcBorders>
            <w:noWrap/>
            <w:vAlign w:val="center"/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2F5496" w:themeColor="accent5" w:themeShade="BF"/>
            </w:tcBorders>
          </w:tcPr>
          <w:p w:rsidR="003226C6" w:rsidRPr="008E3604" w:rsidRDefault="003226C6" w:rsidP="00A3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57E6A" w:rsidRPr="00765123" w:rsidRDefault="00863287" w:rsidP="00765123">
      <w:pPr>
        <w:tabs>
          <w:tab w:val="left" w:pos="360"/>
        </w:tabs>
        <w:ind w:left="360"/>
        <w:rPr>
          <w:i/>
          <w:sz w:val="18"/>
        </w:rPr>
      </w:pPr>
      <w:r w:rsidRPr="00A57E6A">
        <w:rPr>
          <w:i/>
          <w:sz w:val="18"/>
        </w:rPr>
        <w:t>Source</w:t>
      </w:r>
      <w:r w:rsidRPr="00BE6889">
        <w:rPr>
          <w:i/>
          <w:sz w:val="18"/>
        </w:rPr>
        <w:t>: Maine All-Payer Claims Data</w:t>
      </w:r>
      <w:r w:rsidR="00CB0B1C" w:rsidRPr="00BE6889">
        <w:rPr>
          <w:i/>
          <w:sz w:val="18"/>
        </w:rPr>
        <w:t>, Pharmacy Claims</w:t>
      </w:r>
    </w:p>
    <w:p w:rsidR="00765123" w:rsidRDefault="00765123" w:rsidP="00710F21">
      <w:pPr>
        <w:tabs>
          <w:tab w:val="left" w:pos="5580"/>
        </w:tabs>
        <w:spacing w:after="0"/>
        <w:rPr>
          <w:rFonts w:asciiTheme="majorHAnsi" w:hAnsiTheme="majorHAnsi" w:cstheme="majorHAnsi"/>
        </w:rPr>
      </w:pPr>
    </w:p>
    <w:p w:rsidR="00863287" w:rsidRDefault="00863287" w:rsidP="00710F21">
      <w:pPr>
        <w:tabs>
          <w:tab w:val="left" w:pos="5580"/>
        </w:tabs>
        <w:spacing w:after="0"/>
        <w:rPr>
          <w:rFonts w:asciiTheme="majorHAnsi" w:hAnsiTheme="majorHAnsi" w:cstheme="majorHAnsi"/>
        </w:rPr>
      </w:pPr>
      <w:r w:rsidRPr="008E3604">
        <w:rPr>
          <w:rFonts w:asciiTheme="majorHAnsi" w:hAnsiTheme="majorHAnsi" w:cstheme="majorHAnsi"/>
        </w:rPr>
        <w:t xml:space="preserve">Table </w:t>
      </w:r>
      <w:r>
        <w:rPr>
          <w:rFonts w:asciiTheme="majorHAnsi" w:hAnsiTheme="majorHAnsi" w:cstheme="majorHAnsi"/>
        </w:rPr>
        <w:t>3</w:t>
      </w:r>
      <w:r w:rsidRPr="008E3604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Top 25 </w:t>
      </w:r>
      <w:r w:rsidR="006071D5">
        <w:rPr>
          <w:rFonts w:asciiTheme="majorHAnsi" w:hAnsiTheme="majorHAnsi" w:cstheme="majorHAnsi"/>
        </w:rPr>
        <w:t xml:space="preserve">Drugs With </w:t>
      </w:r>
      <w:r>
        <w:rPr>
          <w:rFonts w:asciiTheme="majorHAnsi" w:hAnsiTheme="majorHAnsi" w:cstheme="majorHAnsi"/>
        </w:rPr>
        <w:t xml:space="preserve">Highest </w:t>
      </w:r>
      <w:r w:rsidR="00EF3120">
        <w:rPr>
          <w:rFonts w:asciiTheme="majorHAnsi" w:hAnsiTheme="majorHAnsi" w:cstheme="majorHAnsi"/>
        </w:rPr>
        <w:t xml:space="preserve">Year-Over-Year (YOY) </w:t>
      </w:r>
      <w:r>
        <w:rPr>
          <w:rFonts w:asciiTheme="majorHAnsi" w:hAnsiTheme="majorHAnsi" w:cstheme="majorHAnsi"/>
        </w:rPr>
        <w:t>Cost Increases, Maine</w:t>
      </w:r>
      <w:r w:rsidR="00710F21">
        <w:rPr>
          <w:rFonts w:asciiTheme="majorHAnsi" w:hAnsiTheme="majorHAnsi" w:cstheme="majorHAnsi"/>
        </w:rPr>
        <w:tab/>
      </w:r>
    </w:p>
    <w:p w:rsidR="00710F21" w:rsidRPr="00CE27FB" w:rsidRDefault="00710F21" w:rsidP="00710F21">
      <w:pPr>
        <w:rPr>
          <w:rFonts w:asciiTheme="majorHAnsi" w:hAnsiTheme="majorHAnsi" w:cstheme="majorHAnsi"/>
          <w:i/>
          <w:sz w:val="20"/>
        </w:rPr>
      </w:pPr>
      <w:r w:rsidRPr="00CE27FB">
        <w:rPr>
          <w:rFonts w:asciiTheme="majorHAnsi" w:hAnsiTheme="majorHAnsi" w:cstheme="majorHAnsi"/>
          <w:i/>
          <w:sz w:val="20"/>
        </w:rPr>
        <w:t xml:space="preserve">Table is sorted by column 5, Increase </w:t>
      </w:r>
      <w:r w:rsidR="00CA38D6" w:rsidRPr="00CE27FB">
        <w:rPr>
          <w:rFonts w:asciiTheme="majorHAnsi" w:hAnsiTheme="majorHAnsi" w:cstheme="majorHAnsi"/>
          <w:i/>
          <w:sz w:val="20"/>
        </w:rPr>
        <w:t>i</w:t>
      </w:r>
      <w:r w:rsidRPr="00CE27FB">
        <w:rPr>
          <w:rFonts w:asciiTheme="majorHAnsi" w:hAnsiTheme="majorHAnsi" w:cstheme="majorHAnsi"/>
          <w:i/>
          <w:sz w:val="20"/>
        </w:rPr>
        <w:t>n Total Spent Over Previous Year</w:t>
      </w:r>
    </w:p>
    <w:tbl>
      <w:tblPr>
        <w:tblStyle w:val="GridTable1Light"/>
        <w:tblW w:w="945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25"/>
        <w:gridCol w:w="1811"/>
        <w:gridCol w:w="1715"/>
        <w:gridCol w:w="1811"/>
        <w:gridCol w:w="1906"/>
      </w:tblGrid>
      <w:tr w:rsidR="00667CD2" w:rsidRPr="008E3604" w:rsidTr="0013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3226C6" w:rsidRPr="008E3604" w:rsidRDefault="003226C6" w:rsidP="001346E3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Rank</w:t>
            </w:r>
          </w:p>
        </w:tc>
        <w:tc>
          <w:tcPr>
            <w:tcW w:w="1525" w:type="dxa"/>
            <w:tcBorders>
              <w:left w:val="nil"/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3226C6" w:rsidRPr="008E3604" w:rsidRDefault="003226C6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Medication Name</w:t>
            </w:r>
          </w:p>
        </w:tc>
        <w:tc>
          <w:tcPr>
            <w:tcW w:w="1811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3226C6" w:rsidRDefault="003226C6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Therapeutic Class</w:t>
            </w:r>
            <w:r w:rsidR="005D293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1715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noWrap/>
            <w:vAlign w:val="center"/>
            <w:hideMark/>
          </w:tcPr>
          <w:p w:rsidR="003226C6" w:rsidRPr="008E3604" w:rsidRDefault="003226C6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Number of Prescriptions</w:t>
            </w:r>
          </w:p>
        </w:tc>
        <w:tc>
          <w:tcPr>
            <w:tcW w:w="1811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3226C6" w:rsidRDefault="003226C6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Total Cost Per Year</w:t>
            </w:r>
          </w:p>
        </w:tc>
        <w:tc>
          <w:tcPr>
            <w:tcW w:w="1906" w:type="dxa"/>
            <w:tcBorders>
              <w:bottom w:val="single" w:sz="12" w:space="0" w:color="2F5496" w:themeColor="accent5" w:themeShade="BF"/>
            </w:tcBorders>
            <w:shd w:val="clear" w:color="auto" w:fill="2F5496" w:themeFill="accent5" w:themeFillShade="BF"/>
            <w:vAlign w:val="center"/>
          </w:tcPr>
          <w:p w:rsidR="003226C6" w:rsidRPr="008E3604" w:rsidRDefault="003226C6" w:rsidP="00134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Increase in Total Spent Over Previous Year (%)</w:t>
            </w: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1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1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1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1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4D35CE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s</w:t>
            </w:r>
            <w:r w:rsidR="003226C6"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7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8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9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2F5496" w:themeColor="accent5" w:themeShade="BF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2" w:space="0" w:color="2F5496" w:themeColor="accent5" w:themeShade="BF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12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13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14</w:t>
            </w:r>
          </w:p>
        </w:tc>
        <w:tc>
          <w:tcPr>
            <w:tcW w:w="152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  <w:hideMark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 w:rsidRPr="008E3604"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15</w:t>
            </w:r>
          </w:p>
        </w:tc>
        <w:tc>
          <w:tcPr>
            <w:tcW w:w="1525" w:type="dxa"/>
            <w:tcBorders>
              <w:bottom w:val="single" w:sz="4" w:space="0" w:color="4472C4" w:themeColor="accent5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4" w:space="0" w:color="4472C4" w:themeColor="accent5"/>
            </w:tcBorders>
            <w:noWrap/>
            <w:vAlign w:val="center"/>
            <w:hideMark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4" w:space="0" w:color="4472C4" w:themeColor="accent5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16</w:t>
            </w:r>
          </w:p>
        </w:tc>
        <w:tc>
          <w:tcPr>
            <w:tcW w:w="1525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6C6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17</w:t>
            </w:r>
          </w:p>
        </w:tc>
        <w:tc>
          <w:tcPr>
            <w:tcW w:w="152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6C6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18</w:t>
            </w:r>
          </w:p>
        </w:tc>
        <w:tc>
          <w:tcPr>
            <w:tcW w:w="152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6C6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19</w:t>
            </w:r>
          </w:p>
        </w:tc>
        <w:tc>
          <w:tcPr>
            <w:tcW w:w="152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4" w:space="0" w:color="4472C4" w:themeColor="accent5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4472C4" w:themeColor="accent5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4472C4" w:themeColor="accent5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6C6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22</w:t>
            </w:r>
          </w:p>
        </w:tc>
        <w:tc>
          <w:tcPr>
            <w:tcW w:w="152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6C6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23</w:t>
            </w:r>
          </w:p>
        </w:tc>
        <w:tc>
          <w:tcPr>
            <w:tcW w:w="152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6C6" w:rsidRPr="008E3604" w:rsidTr="00BE68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24</w:t>
            </w:r>
          </w:p>
        </w:tc>
        <w:tc>
          <w:tcPr>
            <w:tcW w:w="152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5FC" w:rsidRPr="008E3604" w:rsidTr="001C4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2" w:space="0" w:color="F2F2F2" w:themeColor="background1" w:themeShade="F2"/>
              <w:bottom w:val="single" w:sz="12" w:space="0" w:color="2F5496" w:themeColor="accent5" w:themeShade="BF"/>
            </w:tcBorders>
            <w:shd w:val="clear" w:color="auto" w:fill="D9E2F3" w:themeFill="accent5" w:themeFillTint="33"/>
            <w:noWrap/>
            <w:vAlign w:val="center"/>
          </w:tcPr>
          <w:p w:rsidR="003226C6" w:rsidRPr="008E3604" w:rsidRDefault="003226C6" w:rsidP="003226C6">
            <w:pPr>
              <w:jc w:val="center"/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25</w:t>
            </w:r>
          </w:p>
        </w:tc>
        <w:tc>
          <w:tcPr>
            <w:tcW w:w="1525" w:type="dxa"/>
            <w:tcBorders>
              <w:bottom w:val="single" w:sz="12" w:space="0" w:color="2F5496" w:themeColor="accent5" w:themeShade="BF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1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12" w:space="0" w:color="2F5496" w:themeColor="accent5" w:themeShade="BF"/>
            </w:tcBorders>
            <w:noWrap/>
            <w:vAlign w:val="center"/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1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12" w:space="0" w:color="2F5496" w:themeColor="accent5" w:themeShade="BF"/>
            </w:tcBorders>
          </w:tcPr>
          <w:p w:rsidR="003226C6" w:rsidRPr="008E3604" w:rsidRDefault="003226C6" w:rsidP="0032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E6889" w:rsidRPr="00BE6889" w:rsidRDefault="00863287" w:rsidP="009F73F4">
      <w:pPr>
        <w:tabs>
          <w:tab w:val="left" w:pos="360"/>
        </w:tabs>
        <w:rPr>
          <w:i/>
          <w:sz w:val="18"/>
        </w:rPr>
      </w:pPr>
      <w:r w:rsidRPr="00A57E6A">
        <w:rPr>
          <w:i/>
          <w:sz w:val="18"/>
        </w:rPr>
        <w:t>Source</w:t>
      </w:r>
      <w:r w:rsidRPr="00BE6889">
        <w:rPr>
          <w:i/>
          <w:sz w:val="18"/>
        </w:rPr>
        <w:t>: Maine All-Payer Claims Data</w:t>
      </w:r>
      <w:r w:rsidR="00AF5AA9">
        <w:rPr>
          <w:i/>
          <w:sz w:val="18"/>
        </w:rPr>
        <w:t>, Pharmacy Cl</w:t>
      </w:r>
      <w:r w:rsidR="00F9167E">
        <w:rPr>
          <w:i/>
          <w:sz w:val="18"/>
        </w:rPr>
        <w:t>aim</w:t>
      </w:r>
      <w:r w:rsidR="004D35CE">
        <w:rPr>
          <w:i/>
          <w:sz w:val="18"/>
        </w:rPr>
        <w:t>s</w:t>
      </w:r>
      <w:bookmarkStart w:id="1" w:name="_GoBack"/>
      <w:bookmarkEnd w:id="1"/>
    </w:p>
    <w:sectPr w:rsidR="00BE6889" w:rsidRPr="00BE6889" w:rsidSect="004D35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82" w:rsidRDefault="009E2A82" w:rsidP="0049097E">
      <w:pPr>
        <w:spacing w:after="0" w:line="240" w:lineRule="auto"/>
      </w:pPr>
      <w:r>
        <w:separator/>
      </w:r>
    </w:p>
  </w:endnote>
  <w:endnote w:type="continuationSeparator" w:id="0">
    <w:p w:rsidR="009E2A82" w:rsidRDefault="009E2A82" w:rsidP="0049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6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E7A" w:rsidRDefault="004C5E7A" w:rsidP="004C5E7A">
        <w:pPr>
          <w:pStyle w:val="Footer"/>
        </w:pPr>
      </w:p>
      <w:p w:rsidR="004C5E7A" w:rsidRDefault="004C5E7A" w:rsidP="004C5E7A">
        <w:pPr>
          <w:pStyle w:val="Footer"/>
        </w:pPr>
      </w:p>
      <w:p w:rsidR="004C5E7A" w:rsidRDefault="004C5E7A" w:rsidP="004C5E7A">
        <w:pPr>
          <w:pStyle w:val="Footer"/>
        </w:pPr>
      </w:p>
      <w:p w:rsidR="004C5E7A" w:rsidRDefault="004C5E7A" w:rsidP="004C5E7A">
        <w:pPr>
          <w:pStyle w:val="Footer"/>
        </w:pPr>
        <w:r>
          <w:t>Internal Working Document -Distributed at MHDO Board Meeting</w:t>
        </w:r>
      </w:p>
      <w:p w:rsidR="004C5E7A" w:rsidRDefault="004C5E7A" w:rsidP="004C5E7A">
        <w:pPr>
          <w:pStyle w:val="Footer"/>
          <w:jc w:val="right"/>
        </w:pPr>
      </w:p>
      <w:p w:rsidR="004C5E7A" w:rsidRDefault="004C5E7A" w:rsidP="004C5E7A">
        <w:pPr>
          <w:pStyle w:val="Footer"/>
          <w:jc w:val="right"/>
        </w:pPr>
      </w:p>
      <w:p w:rsidR="004C5E7A" w:rsidRDefault="004C5E7A" w:rsidP="004C5E7A">
        <w:pPr>
          <w:pStyle w:val="Footer"/>
          <w:jc w:val="right"/>
        </w:pPr>
      </w:p>
      <w:p w:rsidR="009E4052" w:rsidRDefault="009E4052" w:rsidP="004C5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82" w:rsidRDefault="009E2A82" w:rsidP="0049097E">
      <w:pPr>
        <w:spacing w:after="0" w:line="240" w:lineRule="auto"/>
      </w:pPr>
      <w:r>
        <w:separator/>
      </w:r>
    </w:p>
  </w:footnote>
  <w:footnote w:type="continuationSeparator" w:id="0">
    <w:p w:rsidR="009E2A82" w:rsidRDefault="009E2A82" w:rsidP="0049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CC3"/>
    <w:multiLevelType w:val="hybridMultilevel"/>
    <w:tmpl w:val="2B9C7658"/>
    <w:lvl w:ilvl="0" w:tplc="F95A779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37E1F"/>
    <w:multiLevelType w:val="hybridMultilevel"/>
    <w:tmpl w:val="8666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71CE"/>
    <w:multiLevelType w:val="hybridMultilevel"/>
    <w:tmpl w:val="5ECA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36C"/>
    <w:multiLevelType w:val="hybridMultilevel"/>
    <w:tmpl w:val="3ED2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3A5"/>
    <w:multiLevelType w:val="hybridMultilevel"/>
    <w:tmpl w:val="66F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113B"/>
    <w:multiLevelType w:val="hybridMultilevel"/>
    <w:tmpl w:val="63FC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A3B8B"/>
    <w:multiLevelType w:val="hybridMultilevel"/>
    <w:tmpl w:val="06A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C5574"/>
    <w:multiLevelType w:val="hybridMultilevel"/>
    <w:tmpl w:val="A93A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6C91"/>
    <w:multiLevelType w:val="hybridMultilevel"/>
    <w:tmpl w:val="8584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1E0"/>
    <w:multiLevelType w:val="hybridMultilevel"/>
    <w:tmpl w:val="F93E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06EF"/>
    <w:multiLevelType w:val="hybridMultilevel"/>
    <w:tmpl w:val="98B6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2DBE"/>
    <w:multiLevelType w:val="hybridMultilevel"/>
    <w:tmpl w:val="282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1822"/>
    <w:multiLevelType w:val="hybridMultilevel"/>
    <w:tmpl w:val="06A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23AC"/>
    <w:multiLevelType w:val="hybridMultilevel"/>
    <w:tmpl w:val="3AFC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D3D1E"/>
    <w:multiLevelType w:val="hybridMultilevel"/>
    <w:tmpl w:val="D0C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A2D99"/>
    <w:multiLevelType w:val="hybridMultilevel"/>
    <w:tmpl w:val="F1B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7F"/>
    <w:rsid w:val="000022CC"/>
    <w:rsid w:val="00005D64"/>
    <w:rsid w:val="00043E80"/>
    <w:rsid w:val="000510E4"/>
    <w:rsid w:val="000668E6"/>
    <w:rsid w:val="00070C5D"/>
    <w:rsid w:val="00081C28"/>
    <w:rsid w:val="00083F24"/>
    <w:rsid w:val="00097481"/>
    <w:rsid w:val="000A30C6"/>
    <w:rsid w:val="000A3DA9"/>
    <w:rsid w:val="000B4941"/>
    <w:rsid w:val="000C3E0B"/>
    <w:rsid w:val="000D3175"/>
    <w:rsid w:val="000F19FC"/>
    <w:rsid w:val="0010143E"/>
    <w:rsid w:val="0010399B"/>
    <w:rsid w:val="001277A8"/>
    <w:rsid w:val="001346E3"/>
    <w:rsid w:val="00152852"/>
    <w:rsid w:val="00153821"/>
    <w:rsid w:val="00155A9E"/>
    <w:rsid w:val="0016380C"/>
    <w:rsid w:val="001707B6"/>
    <w:rsid w:val="00172B75"/>
    <w:rsid w:val="00173E7E"/>
    <w:rsid w:val="00186B5C"/>
    <w:rsid w:val="001920B3"/>
    <w:rsid w:val="00194261"/>
    <w:rsid w:val="00196995"/>
    <w:rsid w:val="001C45FC"/>
    <w:rsid w:val="001C7280"/>
    <w:rsid w:val="001D4F22"/>
    <w:rsid w:val="00200719"/>
    <w:rsid w:val="00205032"/>
    <w:rsid w:val="00213512"/>
    <w:rsid w:val="002164E3"/>
    <w:rsid w:val="0023357D"/>
    <w:rsid w:val="002342A7"/>
    <w:rsid w:val="00241459"/>
    <w:rsid w:val="00245F62"/>
    <w:rsid w:val="002A0D81"/>
    <w:rsid w:val="002A259B"/>
    <w:rsid w:val="002C6596"/>
    <w:rsid w:val="002D5230"/>
    <w:rsid w:val="0030704E"/>
    <w:rsid w:val="00311EF4"/>
    <w:rsid w:val="0031450A"/>
    <w:rsid w:val="00322405"/>
    <w:rsid w:val="003226C6"/>
    <w:rsid w:val="0032728C"/>
    <w:rsid w:val="00331642"/>
    <w:rsid w:val="00332970"/>
    <w:rsid w:val="0035124C"/>
    <w:rsid w:val="00390CAC"/>
    <w:rsid w:val="003929B1"/>
    <w:rsid w:val="00393D38"/>
    <w:rsid w:val="003944F9"/>
    <w:rsid w:val="003C7822"/>
    <w:rsid w:val="00413E1E"/>
    <w:rsid w:val="00427DAA"/>
    <w:rsid w:val="00431863"/>
    <w:rsid w:val="00454AA5"/>
    <w:rsid w:val="004566DA"/>
    <w:rsid w:val="0047274C"/>
    <w:rsid w:val="004875BD"/>
    <w:rsid w:val="0049016C"/>
    <w:rsid w:val="0049097E"/>
    <w:rsid w:val="0049679F"/>
    <w:rsid w:val="004A2521"/>
    <w:rsid w:val="004A40DB"/>
    <w:rsid w:val="004B2342"/>
    <w:rsid w:val="004B70A5"/>
    <w:rsid w:val="004C5E7A"/>
    <w:rsid w:val="004D35CE"/>
    <w:rsid w:val="004D4A9A"/>
    <w:rsid w:val="004D5777"/>
    <w:rsid w:val="00501382"/>
    <w:rsid w:val="00517394"/>
    <w:rsid w:val="005255A9"/>
    <w:rsid w:val="00530ADC"/>
    <w:rsid w:val="00533B28"/>
    <w:rsid w:val="00540953"/>
    <w:rsid w:val="00544BE3"/>
    <w:rsid w:val="00544D75"/>
    <w:rsid w:val="00555406"/>
    <w:rsid w:val="00561F54"/>
    <w:rsid w:val="00561F97"/>
    <w:rsid w:val="00566665"/>
    <w:rsid w:val="00566FB8"/>
    <w:rsid w:val="005761C2"/>
    <w:rsid w:val="005801DF"/>
    <w:rsid w:val="00593EB5"/>
    <w:rsid w:val="00594836"/>
    <w:rsid w:val="005961BF"/>
    <w:rsid w:val="00596B76"/>
    <w:rsid w:val="005B219B"/>
    <w:rsid w:val="005B401A"/>
    <w:rsid w:val="005C2F56"/>
    <w:rsid w:val="005D2934"/>
    <w:rsid w:val="005D4F21"/>
    <w:rsid w:val="005E45D2"/>
    <w:rsid w:val="005E5F0C"/>
    <w:rsid w:val="005F08AC"/>
    <w:rsid w:val="005F1A2A"/>
    <w:rsid w:val="006071D5"/>
    <w:rsid w:val="0061230E"/>
    <w:rsid w:val="006145D4"/>
    <w:rsid w:val="0061766E"/>
    <w:rsid w:val="006236CD"/>
    <w:rsid w:val="00630B0F"/>
    <w:rsid w:val="00631193"/>
    <w:rsid w:val="00642E00"/>
    <w:rsid w:val="0064544F"/>
    <w:rsid w:val="0065592C"/>
    <w:rsid w:val="0066026E"/>
    <w:rsid w:val="00660ABD"/>
    <w:rsid w:val="00667CD2"/>
    <w:rsid w:val="00681AA9"/>
    <w:rsid w:val="00691017"/>
    <w:rsid w:val="00695A67"/>
    <w:rsid w:val="006A10F2"/>
    <w:rsid w:val="006B24E8"/>
    <w:rsid w:val="00706ACF"/>
    <w:rsid w:val="00710F21"/>
    <w:rsid w:val="00712D4F"/>
    <w:rsid w:val="00721056"/>
    <w:rsid w:val="007253C1"/>
    <w:rsid w:val="00740DD2"/>
    <w:rsid w:val="00743953"/>
    <w:rsid w:val="00765123"/>
    <w:rsid w:val="00783DB7"/>
    <w:rsid w:val="007C2412"/>
    <w:rsid w:val="007D2558"/>
    <w:rsid w:val="007D7C30"/>
    <w:rsid w:val="007E0533"/>
    <w:rsid w:val="007E7BA5"/>
    <w:rsid w:val="007F4D62"/>
    <w:rsid w:val="008111D3"/>
    <w:rsid w:val="00814849"/>
    <w:rsid w:val="00827E77"/>
    <w:rsid w:val="008320DE"/>
    <w:rsid w:val="00833477"/>
    <w:rsid w:val="00863287"/>
    <w:rsid w:val="00865B08"/>
    <w:rsid w:val="0086797D"/>
    <w:rsid w:val="008707EF"/>
    <w:rsid w:val="008878D3"/>
    <w:rsid w:val="0089001D"/>
    <w:rsid w:val="008A0088"/>
    <w:rsid w:val="008B37F9"/>
    <w:rsid w:val="008D0F0D"/>
    <w:rsid w:val="008E3604"/>
    <w:rsid w:val="008F4CF3"/>
    <w:rsid w:val="0090287A"/>
    <w:rsid w:val="00904DFB"/>
    <w:rsid w:val="0090628A"/>
    <w:rsid w:val="009165FE"/>
    <w:rsid w:val="00936D87"/>
    <w:rsid w:val="00940155"/>
    <w:rsid w:val="009656E7"/>
    <w:rsid w:val="00972B0E"/>
    <w:rsid w:val="00997B57"/>
    <w:rsid w:val="009A30B7"/>
    <w:rsid w:val="009A7F69"/>
    <w:rsid w:val="009B5198"/>
    <w:rsid w:val="009D1F89"/>
    <w:rsid w:val="009D7395"/>
    <w:rsid w:val="009E2A82"/>
    <w:rsid w:val="009E4052"/>
    <w:rsid w:val="009E70C5"/>
    <w:rsid w:val="009F6F4B"/>
    <w:rsid w:val="009F73F4"/>
    <w:rsid w:val="00A03912"/>
    <w:rsid w:val="00A153BA"/>
    <w:rsid w:val="00A177C5"/>
    <w:rsid w:val="00A276D5"/>
    <w:rsid w:val="00A36457"/>
    <w:rsid w:val="00A47BC5"/>
    <w:rsid w:val="00A57E6A"/>
    <w:rsid w:val="00A61F06"/>
    <w:rsid w:val="00A961E7"/>
    <w:rsid w:val="00AA0500"/>
    <w:rsid w:val="00AD4AE2"/>
    <w:rsid w:val="00AD6F27"/>
    <w:rsid w:val="00AF0EF0"/>
    <w:rsid w:val="00AF32F4"/>
    <w:rsid w:val="00AF5751"/>
    <w:rsid w:val="00AF5AA9"/>
    <w:rsid w:val="00B014DC"/>
    <w:rsid w:val="00B10ECE"/>
    <w:rsid w:val="00B159FC"/>
    <w:rsid w:val="00B209A6"/>
    <w:rsid w:val="00B25E96"/>
    <w:rsid w:val="00B4294C"/>
    <w:rsid w:val="00B42A3A"/>
    <w:rsid w:val="00B609AE"/>
    <w:rsid w:val="00B920C5"/>
    <w:rsid w:val="00BB4F34"/>
    <w:rsid w:val="00BB528B"/>
    <w:rsid w:val="00BE6712"/>
    <w:rsid w:val="00BE6889"/>
    <w:rsid w:val="00C45EB8"/>
    <w:rsid w:val="00C55836"/>
    <w:rsid w:val="00C63C26"/>
    <w:rsid w:val="00C64962"/>
    <w:rsid w:val="00C92DA6"/>
    <w:rsid w:val="00CA38D6"/>
    <w:rsid w:val="00CB0B1C"/>
    <w:rsid w:val="00CC2B26"/>
    <w:rsid w:val="00CC4D18"/>
    <w:rsid w:val="00CC5EDE"/>
    <w:rsid w:val="00CD185B"/>
    <w:rsid w:val="00CE27FB"/>
    <w:rsid w:val="00D06F28"/>
    <w:rsid w:val="00D14F91"/>
    <w:rsid w:val="00D538E5"/>
    <w:rsid w:val="00D60082"/>
    <w:rsid w:val="00D60521"/>
    <w:rsid w:val="00D70F44"/>
    <w:rsid w:val="00D71741"/>
    <w:rsid w:val="00DA49A6"/>
    <w:rsid w:val="00DB1BD7"/>
    <w:rsid w:val="00DB1D45"/>
    <w:rsid w:val="00DB3856"/>
    <w:rsid w:val="00DB4146"/>
    <w:rsid w:val="00DB5242"/>
    <w:rsid w:val="00DC1390"/>
    <w:rsid w:val="00DD2E7E"/>
    <w:rsid w:val="00E0353B"/>
    <w:rsid w:val="00E0481B"/>
    <w:rsid w:val="00E07C98"/>
    <w:rsid w:val="00E161D2"/>
    <w:rsid w:val="00E2396E"/>
    <w:rsid w:val="00E31F06"/>
    <w:rsid w:val="00E714D1"/>
    <w:rsid w:val="00E95528"/>
    <w:rsid w:val="00E97C32"/>
    <w:rsid w:val="00EF2830"/>
    <w:rsid w:val="00EF3120"/>
    <w:rsid w:val="00EF3CAF"/>
    <w:rsid w:val="00F1187C"/>
    <w:rsid w:val="00F229B0"/>
    <w:rsid w:val="00F325D2"/>
    <w:rsid w:val="00F3531F"/>
    <w:rsid w:val="00F36355"/>
    <w:rsid w:val="00F40067"/>
    <w:rsid w:val="00F608EF"/>
    <w:rsid w:val="00F76A00"/>
    <w:rsid w:val="00F80FBE"/>
    <w:rsid w:val="00F82B45"/>
    <w:rsid w:val="00F83499"/>
    <w:rsid w:val="00F8560F"/>
    <w:rsid w:val="00F9167E"/>
    <w:rsid w:val="00F971D7"/>
    <w:rsid w:val="00FB1867"/>
    <w:rsid w:val="00FB7E1C"/>
    <w:rsid w:val="00FC3123"/>
    <w:rsid w:val="00FD5717"/>
    <w:rsid w:val="00FE1454"/>
    <w:rsid w:val="00FF097F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34D3"/>
  <w15:chartTrackingRefBased/>
  <w15:docId w15:val="{87B4828C-E871-43A3-A689-4CFD427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0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B70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9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7E"/>
  </w:style>
  <w:style w:type="paragraph" w:styleId="Footer">
    <w:name w:val="footer"/>
    <w:basedOn w:val="Normal"/>
    <w:link w:val="FooterChar"/>
    <w:uiPriority w:val="99"/>
    <w:unhideWhenUsed/>
    <w:rsid w:val="004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7E"/>
  </w:style>
  <w:style w:type="character" w:customStyle="1" w:styleId="Heading2Char">
    <w:name w:val="Heading 2 Char"/>
    <w:basedOn w:val="DefaultParagraphFont"/>
    <w:link w:val="Heading2"/>
    <w:uiPriority w:val="9"/>
    <w:rsid w:val="00B60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9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6F27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7253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3">
    <w:name w:val="List Table 3"/>
    <w:basedOn w:val="TableNormal"/>
    <w:uiPriority w:val="48"/>
    <w:rsid w:val="007253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53C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53C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253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67CD2"/>
    <w:pPr>
      <w:spacing w:after="0" w:line="240" w:lineRule="auto"/>
    </w:pPr>
  </w:style>
  <w:style w:type="paragraph" w:styleId="NoSpacing">
    <w:name w:val="No Spacing"/>
    <w:uiPriority w:val="1"/>
    <w:qFormat/>
    <w:rsid w:val="00BE6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pare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Mulcahy</dc:creator>
  <cp:keywords/>
  <dc:description/>
  <cp:lastModifiedBy>Bonsant, Kimberly</cp:lastModifiedBy>
  <cp:revision>3</cp:revision>
  <cp:lastPrinted>2018-09-05T20:55:00Z</cp:lastPrinted>
  <dcterms:created xsi:type="dcterms:W3CDTF">2018-09-05T21:02:00Z</dcterms:created>
  <dcterms:modified xsi:type="dcterms:W3CDTF">2018-09-05T21:07:00Z</dcterms:modified>
</cp:coreProperties>
</file>