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FB5" w:rsidRDefault="00941FB5"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bookmarkStart w:id="0" w:name="_GoBack"/>
      <w:bookmarkEnd w:id="0"/>
    </w:p>
    <w:p w:rsidR="00325356" w:rsidRDefault="008C0EF7"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r>
        <w:rPr>
          <w:noProof/>
        </w:rPr>
        <mc:AlternateContent>
          <mc:Choice Requires="wpg">
            <w:drawing>
              <wp:anchor distT="0" distB="0" distL="114300" distR="114300" simplePos="0" relativeHeight="251658240" behindDoc="0" locked="0" layoutInCell="1" allowOverlap="1" wp14:anchorId="7150B420" wp14:editId="401B1587">
                <wp:simplePos x="0" y="0"/>
                <wp:positionH relativeFrom="column">
                  <wp:posOffset>1471930</wp:posOffset>
                </wp:positionH>
                <wp:positionV relativeFrom="paragraph">
                  <wp:posOffset>19050</wp:posOffset>
                </wp:positionV>
                <wp:extent cx="3054350" cy="837565"/>
                <wp:effectExtent l="0" t="0" r="0" b="635"/>
                <wp:wrapNone/>
                <wp:docPr id="3" name="Group 3"/>
                <wp:cNvGraphicFramePr/>
                <a:graphic xmlns:a="http://schemas.openxmlformats.org/drawingml/2006/main">
                  <a:graphicData uri="http://schemas.microsoft.com/office/word/2010/wordprocessingGroup">
                    <wpg:wgp>
                      <wpg:cNvGrpSpPr/>
                      <wpg:grpSpPr>
                        <a:xfrm>
                          <a:off x="0" y="0"/>
                          <a:ext cx="3054350" cy="837565"/>
                          <a:chOff x="24307" y="-25918"/>
                          <a:chExt cx="3054976" cy="838718"/>
                        </a:xfrm>
                      </wpg:grpSpPr>
                      <wps:wsp>
                        <wps:cNvPr id="6" name="Text Box 2"/>
                        <wps:cNvSpPr txBox="1">
                          <a:spLocks noChangeArrowheads="1"/>
                        </wps:cNvSpPr>
                        <wps:spPr bwMode="auto">
                          <a:xfrm>
                            <a:off x="24307" y="-25918"/>
                            <a:ext cx="1399955" cy="504825"/>
                          </a:xfrm>
                          <a:prstGeom prst="rect">
                            <a:avLst/>
                          </a:prstGeom>
                          <a:solidFill>
                            <a:srgbClr val="FFFFFF"/>
                          </a:solidFill>
                          <a:ln w="9525">
                            <a:noFill/>
                            <a:miter lim="800000"/>
                            <a:headEnd/>
                            <a:tailEnd/>
                          </a:ln>
                        </wps:spPr>
                        <wps:txbx>
                          <w:txbxContent>
                            <w:p w:rsidR="00325356" w:rsidRPr="00D0094C" w:rsidRDefault="00325356" w:rsidP="00325356">
                              <w:pPr>
                                <w:rPr>
                                  <w:rFonts w:ascii="Tunga" w:hAnsi="Tunga" w:cs="Tunga"/>
                                  <w:b/>
                                  <w:sz w:val="56"/>
                                  <w:szCs w:val="56"/>
                                </w:rPr>
                              </w:pPr>
                              <w:r>
                                <w:rPr>
                                  <w:rFonts w:ascii="Tunga" w:hAnsi="Tunga" w:cs="Tunga"/>
                                  <w:b/>
                                  <w:sz w:val="52"/>
                                  <w:szCs w:val="52"/>
                                </w:rPr>
                                <w:t xml:space="preserve">   </w:t>
                              </w:r>
                              <w:r w:rsidRPr="00D0094C">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79059" y="98767"/>
                            <a:ext cx="1700224" cy="451785"/>
                          </a:xfrm>
                          <a:prstGeom prst="rect">
                            <a:avLst/>
                          </a:prstGeom>
                          <a:solidFill>
                            <a:srgbClr val="FFFFFF"/>
                          </a:solidFill>
                          <a:ln w="9525">
                            <a:noFill/>
                            <a:miter lim="800000"/>
                            <a:headEnd/>
                            <a:tailEnd/>
                          </a:ln>
                        </wps:spPr>
                        <wps:txbx>
                          <w:txbxContent>
                            <w:p w:rsidR="00325356" w:rsidRPr="00ED42C5" w:rsidRDefault="00325356" w:rsidP="00325356">
                              <w:pPr>
                                <w:rPr>
                                  <w:rFonts w:ascii="Arial" w:hAnsi="Arial" w:cs="Arial"/>
                                  <w:color w:val="000000" w:themeColor="text1"/>
                                </w:rPr>
                              </w:pPr>
                              <w:r w:rsidRPr="00ED42C5">
                                <w:rPr>
                                  <w:rFonts w:ascii="Arial" w:hAnsi="Arial" w:cs="Arial"/>
                                  <w:color w:val="000000" w:themeColor="text1"/>
                                </w:rPr>
                                <w:t>Maine Health</w:t>
                              </w:r>
                            </w:p>
                            <w:p w:rsidR="00325356" w:rsidRPr="00350078" w:rsidRDefault="00325356" w:rsidP="00325356">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5300"/>
                            <a:ext cx="2933700" cy="317500"/>
                          </a:xfrm>
                          <a:prstGeom prst="rect">
                            <a:avLst/>
                          </a:prstGeom>
                          <a:noFill/>
                          <a:ln w="9525">
                            <a:noFill/>
                            <a:miter lim="800000"/>
                            <a:headEnd/>
                            <a:tailEnd/>
                          </a:ln>
                        </wps:spPr>
                        <wps:txbx>
                          <w:txbxContent>
                            <w:p w:rsidR="00325356" w:rsidRPr="00FB100A" w:rsidRDefault="00325356" w:rsidP="00325356">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w:pict>
              <v:group w14:anchorId="7150B420" id="Group 3" o:spid="_x0000_s1026" style="position:absolute;left:0;text-align:left;margin-left:115.9pt;margin-top:1.5pt;width:240.5pt;height:65.95pt;z-index:251658240;mso-width-relative:margin;mso-height-relative:margin" coordorigin="243,-259" coordsize="30549,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">
                <v:shapetype id="_x0000_t202" coordsize="21600,21600" o:spt="202" path="m,l,21600r21600,l21600,xe">
                  <v:stroke joinstyle="miter"/>
                  <v:path gradientshapeok="t" o:connecttype="rect"/>
                </v:shapetype>
                <v:shape id="Text Box 2" o:spid="_x0000_s1027" type="#_x0000_t202" style="position:absolute;left:243;top:-259;width:1399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25356" w:rsidRPr="00D0094C" w:rsidRDefault="00325356" w:rsidP="00325356">
                        <w:pPr>
                          <w:rPr>
                            <w:rFonts w:ascii="Tunga" w:hAnsi="Tunga" w:cs="Tunga"/>
                            <w:b/>
                            <w:sz w:val="56"/>
                            <w:szCs w:val="56"/>
                          </w:rPr>
                        </w:pPr>
                        <w:r>
                          <w:rPr>
                            <w:rFonts w:ascii="Tunga" w:hAnsi="Tunga" w:cs="Tunga"/>
                            <w:b/>
                            <w:sz w:val="52"/>
                            <w:szCs w:val="52"/>
                          </w:rPr>
                          <w:t xml:space="preserve">   </w:t>
                        </w:r>
                        <w:r w:rsidRPr="00D0094C">
                          <w:rPr>
                            <w:rFonts w:ascii="Tunga" w:hAnsi="Tunga" w:cs="Tunga"/>
                            <w:b/>
                            <w:sz w:val="56"/>
                            <w:szCs w:val="56"/>
                          </w:rPr>
                          <w:t>MHDO</w:t>
                        </w:r>
                      </w:p>
                    </w:txbxContent>
                  </v:textbox>
                </v:shape>
                <v:shape id="Text Box 2" o:spid="_x0000_s1028" type="#_x0000_t202" style="position:absolute;left:13790;top:987;width:17002;height: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rsidR="00325356" w:rsidRPr="00ED42C5" w:rsidRDefault="00325356" w:rsidP="00325356">
                        <w:pPr>
                          <w:rPr>
                            <w:rFonts w:ascii="Arial" w:hAnsi="Arial" w:cs="Arial"/>
                            <w:color w:val="000000" w:themeColor="text1"/>
                          </w:rPr>
                        </w:pPr>
                        <w:r w:rsidRPr="00ED42C5">
                          <w:rPr>
                            <w:rFonts w:ascii="Arial" w:hAnsi="Arial" w:cs="Arial"/>
                            <w:color w:val="000000" w:themeColor="text1"/>
                          </w:rPr>
                          <w:t>Maine Health</w:t>
                        </w:r>
                      </w:p>
                      <w:p w:rsidR="00325356" w:rsidRPr="00350078" w:rsidRDefault="00325356" w:rsidP="00325356">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53;width:29337;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rsidR="00325356" w:rsidRPr="00FB100A" w:rsidRDefault="00325356" w:rsidP="00325356">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rsidR="00325356"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rsidR="00325356"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rsidR="00325356"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rsidR="00325356" w:rsidRPr="00EA5888"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rPr>
      </w:pPr>
      <w:r w:rsidRPr="00EA5888">
        <w:rPr>
          <w:rFonts w:asciiTheme="minorHAnsi" w:hAnsiTheme="minorHAnsi"/>
          <w:sz w:val="36"/>
        </w:rPr>
        <w:t>AGENDA</w:t>
      </w:r>
    </w:p>
    <w:p w:rsidR="00325356" w:rsidRPr="00EA5888" w:rsidRDefault="00325356" w:rsidP="00FB612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Arial"/>
          <w:b/>
          <w:bCs/>
          <w:sz w:val="28"/>
          <w:szCs w:val="28"/>
        </w:rPr>
      </w:pPr>
      <w:r w:rsidRPr="00EA5888">
        <w:rPr>
          <w:rFonts w:asciiTheme="minorHAnsi" w:hAnsiTheme="minorHAnsi" w:cs="Arial"/>
          <w:b/>
          <w:bCs/>
          <w:sz w:val="28"/>
          <w:szCs w:val="28"/>
        </w:rPr>
        <w:t>BOARD OF DIRECTOR</w:t>
      </w:r>
      <w:r>
        <w:rPr>
          <w:rFonts w:asciiTheme="minorHAnsi" w:hAnsiTheme="minorHAnsi" w:cs="Arial"/>
          <w:b/>
          <w:bCs/>
          <w:sz w:val="28"/>
          <w:szCs w:val="28"/>
        </w:rPr>
        <w:t>S</w:t>
      </w:r>
      <w:r w:rsidRPr="00EA5888">
        <w:rPr>
          <w:rFonts w:asciiTheme="minorHAnsi" w:hAnsiTheme="minorHAnsi" w:cs="Arial"/>
          <w:b/>
          <w:bCs/>
          <w:sz w:val="28"/>
          <w:szCs w:val="28"/>
        </w:rPr>
        <w:t xml:space="preserve"> MEETING</w:t>
      </w:r>
    </w:p>
    <w:p w:rsidR="00325356" w:rsidRPr="00EA5888"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Arial"/>
          <w:b/>
          <w:bCs/>
          <w:sz w:val="12"/>
          <w:szCs w:val="12"/>
        </w:rPr>
      </w:pPr>
    </w:p>
    <w:p w:rsidR="00325356" w:rsidRPr="00EA5888"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rPr>
      </w:pPr>
      <w:r w:rsidRPr="00EA5888">
        <w:rPr>
          <w:rFonts w:asciiTheme="minorHAnsi" w:hAnsiTheme="minorHAnsi"/>
          <w:b/>
        </w:rPr>
        <w:t>151 Capitol Street, Augusta, Maine</w:t>
      </w:r>
    </w:p>
    <w:p w:rsidR="00325356" w:rsidRPr="00EA5888"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12"/>
          <w:szCs w:val="12"/>
        </w:rPr>
      </w:pPr>
    </w:p>
    <w:p w:rsidR="00325356" w:rsidRPr="00EA5888" w:rsidRDefault="00325356" w:rsidP="0083256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cs="Arial"/>
          <w:b/>
          <w:bCs/>
          <w:szCs w:val="24"/>
        </w:rPr>
      </w:pPr>
      <w:r w:rsidRPr="00EA5888">
        <w:rPr>
          <w:rFonts w:asciiTheme="minorHAnsi" w:hAnsiTheme="minorHAnsi" w:cs="Arial"/>
          <w:b/>
          <w:bCs/>
          <w:szCs w:val="24"/>
        </w:rPr>
        <w:t>Thursday,</w:t>
      </w:r>
      <w:r w:rsidR="00832561">
        <w:rPr>
          <w:rFonts w:asciiTheme="minorHAnsi" w:hAnsiTheme="minorHAnsi" w:cs="Arial"/>
          <w:b/>
          <w:bCs/>
          <w:szCs w:val="24"/>
        </w:rPr>
        <w:t xml:space="preserve"> December</w:t>
      </w:r>
      <w:r w:rsidRPr="00EA5888">
        <w:rPr>
          <w:rFonts w:asciiTheme="minorHAnsi" w:hAnsiTheme="minorHAnsi" w:cs="Arial"/>
          <w:b/>
          <w:bCs/>
          <w:szCs w:val="24"/>
        </w:rPr>
        <w:t xml:space="preserve"> </w:t>
      </w:r>
      <w:r w:rsidR="00832561">
        <w:rPr>
          <w:rFonts w:asciiTheme="minorHAnsi" w:hAnsiTheme="minorHAnsi" w:cs="Arial"/>
          <w:b/>
          <w:bCs/>
          <w:szCs w:val="24"/>
        </w:rPr>
        <w:t>6</w:t>
      </w:r>
      <w:r w:rsidRPr="00EA5888">
        <w:rPr>
          <w:rFonts w:asciiTheme="minorHAnsi" w:hAnsiTheme="minorHAnsi" w:cs="Arial"/>
          <w:b/>
          <w:bCs/>
          <w:szCs w:val="24"/>
        </w:rPr>
        <w:t>, 201</w:t>
      </w:r>
      <w:r w:rsidR="00832561">
        <w:rPr>
          <w:rFonts w:asciiTheme="minorHAnsi" w:hAnsiTheme="minorHAnsi" w:cs="Arial"/>
          <w:b/>
          <w:bCs/>
          <w:szCs w:val="24"/>
        </w:rPr>
        <w:t>8</w:t>
      </w:r>
    </w:p>
    <w:p w:rsidR="00325356" w:rsidRPr="00EA5888"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sz w:val="4"/>
          <w:szCs w:val="4"/>
        </w:rPr>
      </w:pPr>
    </w:p>
    <w:p w:rsidR="00325356" w:rsidRPr="00EA5888"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b/>
        </w:rPr>
      </w:pPr>
      <w:r>
        <w:rPr>
          <w:rFonts w:asciiTheme="minorHAnsi" w:hAnsiTheme="minorHAnsi"/>
          <w:b/>
        </w:rPr>
        <w:t>9:00 a.m. - 11</w:t>
      </w:r>
      <w:r w:rsidRPr="00EA5888">
        <w:rPr>
          <w:rFonts w:asciiTheme="minorHAnsi" w:hAnsiTheme="minorHAnsi"/>
          <w:b/>
        </w:rPr>
        <w:t xml:space="preserve">:00 </w:t>
      </w:r>
      <w:r>
        <w:rPr>
          <w:rFonts w:asciiTheme="minorHAnsi" w:hAnsiTheme="minorHAnsi"/>
          <w:b/>
        </w:rPr>
        <w:t>a</w:t>
      </w:r>
      <w:r w:rsidRPr="00EA5888">
        <w:rPr>
          <w:rFonts w:asciiTheme="minorHAnsi" w:hAnsiTheme="minorHAnsi"/>
          <w:b/>
        </w:rPr>
        <w:t>.m.</w:t>
      </w:r>
    </w:p>
    <w:p w:rsidR="00325356" w:rsidRPr="00EA5888"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rPr>
      </w:pPr>
      <w:r w:rsidRPr="00EA5888">
        <w:rPr>
          <w:rFonts w:asciiTheme="minorHAnsi" w:hAnsiTheme="minorHAnsi" w:cs="Arial"/>
        </w:rPr>
        <w:t>Call in Number: (</w:t>
      </w:r>
      <w:r>
        <w:rPr>
          <w:rFonts w:asciiTheme="minorHAnsi" w:hAnsiTheme="minorHAnsi" w:cs="Arial"/>
        </w:rPr>
        <w:t>855</w:t>
      </w:r>
      <w:r w:rsidRPr="00EA5888">
        <w:rPr>
          <w:rFonts w:asciiTheme="minorHAnsi" w:hAnsiTheme="minorHAnsi" w:cs="Arial"/>
        </w:rPr>
        <w:t xml:space="preserve">) </w:t>
      </w:r>
      <w:r>
        <w:rPr>
          <w:rFonts w:asciiTheme="minorHAnsi" w:hAnsiTheme="minorHAnsi" w:cs="Arial"/>
        </w:rPr>
        <w:t>570-5670</w:t>
      </w:r>
    </w:p>
    <w:p w:rsidR="00325356" w:rsidRPr="00FB6127"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after="120"/>
        <w:rPr>
          <w:rFonts w:asciiTheme="minorHAnsi" w:hAnsiTheme="minorHAnsi"/>
          <w:b/>
          <w:sz w:val="22"/>
          <w:szCs w:val="22"/>
        </w:rPr>
      </w:pPr>
      <w:r w:rsidRPr="00FB6127">
        <w:rPr>
          <w:rFonts w:asciiTheme="minorHAnsi" w:hAnsiTheme="minorHAnsi"/>
          <w:b/>
          <w:sz w:val="22"/>
          <w:szCs w:val="22"/>
        </w:rPr>
        <w:t>Chair Report</w:t>
      </w:r>
    </w:p>
    <w:p w:rsidR="00325356" w:rsidRPr="00FB6127" w:rsidRDefault="00325356" w:rsidP="00FB6127">
      <w:pPr>
        <w:pStyle w:val="DefaultText"/>
        <w:numPr>
          <w:ilvl w:val="0"/>
          <w:numId w:val="1"/>
        </w:numPr>
        <w:tabs>
          <w:tab w:val="left" w:pos="360"/>
        </w:tabs>
        <w:spacing w:after="120"/>
        <w:ind w:left="302"/>
        <w:rPr>
          <w:rFonts w:asciiTheme="minorHAnsi" w:hAnsiTheme="minorHAnsi"/>
          <w:sz w:val="22"/>
          <w:szCs w:val="22"/>
        </w:rPr>
      </w:pPr>
      <w:r w:rsidRPr="00FB6127">
        <w:rPr>
          <w:rFonts w:asciiTheme="minorHAnsi" w:hAnsiTheme="minorHAnsi"/>
          <w:sz w:val="22"/>
          <w:szCs w:val="22"/>
        </w:rPr>
        <w:t xml:space="preserve">Vote to approve </w:t>
      </w:r>
      <w:r w:rsidR="00832561" w:rsidRPr="00FB6127">
        <w:rPr>
          <w:rFonts w:asciiTheme="minorHAnsi" w:hAnsiTheme="minorHAnsi"/>
          <w:sz w:val="22"/>
          <w:szCs w:val="22"/>
        </w:rPr>
        <w:t>September 6</w:t>
      </w:r>
      <w:r w:rsidRPr="00FB6127">
        <w:rPr>
          <w:rFonts w:asciiTheme="minorHAnsi" w:hAnsiTheme="minorHAnsi"/>
          <w:sz w:val="22"/>
          <w:szCs w:val="22"/>
        </w:rPr>
        <w:t>, 2018 Minutes</w:t>
      </w:r>
    </w:p>
    <w:p w:rsidR="00325356" w:rsidRPr="00FB6127" w:rsidRDefault="00325356" w:rsidP="0032535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120"/>
        <w:rPr>
          <w:rFonts w:asciiTheme="minorHAnsi" w:hAnsiTheme="minorHAnsi"/>
          <w:sz w:val="22"/>
          <w:szCs w:val="22"/>
        </w:rPr>
      </w:pPr>
      <w:r w:rsidRPr="00FB6127">
        <w:rPr>
          <w:rFonts w:asciiTheme="minorHAnsi" w:hAnsiTheme="minorHAnsi"/>
          <w:b/>
          <w:sz w:val="22"/>
          <w:szCs w:val="22"/>
        </w:rPr>
        <w:t>Executive Director Report</w:t>
      </w:r>
    </w:p>
    <w:p w:rsidR="00F630D6" w:rsidRPr="00FB6127" w:rsidRDefault="00F630D6" w:rsidP="00F630D6">
      <w:pPr>
        <w:pStyle w:val="DefaultText"/>
        <w:numPr>
          <w:ilvl w:val="0"/>
          <w:numId w:val="1"/>
        </w:numPr>
        <w:tabs>
          <w:tab w:val="left" w:pos="360"/>
        </w:tabs>
        <w:spacing w:after="120"/>
        <w:ind w:left="662" w:hanging="360"/>
        <w:rPr>
          <w:rFonts w:asciiTheme="minorHAnsi" w:hAnsiTheme="minorHAnsi"/>
          <w:sz w:val="22"/>
          <w:szCs w:val="22"/>
        </w:rPr>
      </w:pPr>
      <w:r w:rsidRPr="00FB6127">
        <w:rPr>
          <w:rFonts w:asciiTheme="minorHAnsi" w:hAnsiTheme="minorHAnsi"/>
          <w:sz w:val="22"/>
          <w:szCs w:val="22"/>
        </w:rPr>
        <w:t>Vote to provisionally adopt Rule Chapter 270</w:t>
      </w:r>
      <w:r w:rsidR="00FB6127" w:rsidRPr="00FB6127">
        <w:rPr>
          <w:rFonts w:asciiTheme="minorHAnsi" w:hAnsiTheme="minorHAnsi"/>
          <w:sz w:val="22"/>
          <w:szCs w:val="22"/>
        </w:rPr>
        <w:t xml:space="preserve"> contingent upon AG approval</w:t>
      </w:r>
      <w:r w:rsidRPr="00FB6127">
        <w:rPr>
          <w:rFonts w:asciiTheme="minorHAnsi" w:hAnsiTheme="minorHAnsi"/>
          <w:sz w:val="22"/>
          <w:szCs w:val="22"/>
        </w:rPr>
        <w:t>:  Uniform Reporting System for Quality Data Sets </w:t>
      </w:r>
    </w:p>
    <w:p w:rsidR="00F630D6" w:rsidRPr="00FB6127" w:rsidRDefault="00F630D6" w:rsidP="00F630D6">
      <w:pPr>
        <w:pStyle w:val="DefaultText"/>
        <w:numPr>
          <w:ilvl w:val="0"/>
          <w:numId w:val="1"/>
        </w:numPr>
        <w:tabs>
          <w:tab w:val="left" w:pos="360"/>
        </w:tabs>
        <w:spacing w:after="120"/>
        <w:ind w:left="662" w:hanging="360"/>
        <w:rPr>
          <w:rFonts w:asciiTheme="minorHAnsi" w:hAnsiTheme="minorHAnsi"/>
          <w:sz w:val="22"/>
          <w:szCs w:val="22"/>
        </w:rPr>
      </w:pPr>
      <w:r w:rsidRPr="00FB6127">
        <w:rPr>
          <w:rFonts w:asciiTheme="minorHAnsi" w:hAnsiTheme="minorHAnsi"/>
          <w:sz w:val="22"/>
          <w:szCs w:val="22"/>
        </w:rPr>
        <w:t xml:space="preserve">Vote to initiate rulemaking for Chapter 241:  Uniform Reporting System for </w:t>
      </w:r>
      <w:r w:rsidRPr="00FB6127">
        <w:rPr>
          <w:rFonts w:asciiTheme="minorHAnsi" w:hAnsiTheme="minorHAnsi"/>
          <w:sz w:val="22"/>
          <w:szCs w:val="22"/>
        </w:rPr>
        <w:br/>
        <w:t>Hospital Inpatient and Hospital Outpatient Data Sets </w:t>
      </w:r>
    </w:p>
    <w:p w:rsidR="00F630D6" w:rsidRPr="00FB6127" w:rsidRDefault="00F630D6" w:rsidP="00F630D6">
      <w:pPr>
        <w:pStyle w:val="DefaultText"/>
        <w:numPr>
          <w:ilvl w:val="0"/>
          <w:numId w:val="1"/>
        </w:numPr>
        <w:tabs>
          <w:tab w:val="left" w:pos="360"/>
        </w:tabs>
        <w:spacing w:after="120"/>
        <w:ind w:left="662" w:hanging="360"/>
        <w:rPr>
          <w:rFonts w:asciiTheme="minorHAnsi" w:hAnsiTheme="minorHAnsi"/>
          <w:sz w:val="22"/>
          <w:szCs w:val="22"/>
        </w:rPr>
      </w:pPr>
      <w:r w:rsidRPr="00FB6127">
        <w:rPr>
          <w:rFonts w:asciiTheme="minorHAnsi" w:hAnsiTheme="minorHAnsi"/>
          <w:sz w:val="22"/>
          <w:szCs w:val="22"/>
        </w:rPr>
        <w:t xml:space="preserve">Vote to initiate rulemaking for Chapter 630:  Uniform System for Reporting </w:t>
      </w:r>
      <w:r w:rsidRPr="00FB6127">
        <w:rPr>
          <w:rFonts w:asciiTheme="minorHAnsi" w:hAnsiTheme="minorHAnsi"/>
          <w:sz w:val="22"/>
          <w:szCs w:val="22"/>
        </w:rPr>
        <w:br/>
        <w:t xml:space="preserve">Baseline Information and Restructuring Occurrences for Maine Hospitals and </w:t>
      </w:r>
      <w:r w:rsidRPr="00FB6127">
        <w:rPr>
          <w:rFonts w:asciiTheme="minorHAnsi" w:hAnsiTheme="minorHAnsi"/>
          <w:sz w:val="22"/>
          <w:szCs w:val="22"/>
        </w:rPr>
        <w:br/>
        <w:t>Parent Entities</w:t>
      </w:r>
    </w:p>
    <w:p w:rsidR="00FB6127" w:rsidRPr="00FB6127" w:rsidRDefault="00FB6127" w:rsidP="00F630D6">
      <w:pPr>
        <w:pStyle w:val="DefaultText"/>
        <w:numPr>
          <w:ilvl w:val="0"/>
          <w:numId w:val="1"/>
        </w:numPr>
        <w:tabs>
          <w:tab w:val="left" w:pos="360"/>
        </w:tabs>
        <w:spacing w:after="120"/>
        <w:ind w:left="662" w:hanging="360"/>
        <w:rPr>
          <w:rFonts w:asciiTheme="minorHAnsi" w:hAnsiTheme="minorHAnsi"/>
          <w:sz w:val="22"/>
          <w:szCs w:val="22"/>
        </w:rPr>
      </w:pPr>
      <w:r w:rsidRPr="00FB6127">
        <w:rPr>
          <w:rFonts w:asciiTheme="minorHAnsi" w:hAnsiTheme="minorHAnsi"/>
          <w:sz w:val="22"/>
          <w:szCs w:val="22"/>
        </w:rPr>
        <w:t>Review status and next steps of the MHDO Website Redesign RFP</w:t>
      </w:r>
    </w:p>
    <w:p w:rsidR="00325356" w:rsidRPr="00FB6127" w:rsidRDefault="00FB6127" w:rsidP="00325356">
      <w:pPr>
        <w:pStyle w:val="DefaultText"/>
        <w:numPr>
          <w:ilvl w:val="0"/>
          <w:numId w:val="1"/>
        </w:numPr>
        <w:tabs>
          <w:tab w:val="left" w:pos="360"/>
        </w:tabs>
        <w:spacing w:after="120"/>
        <w:ind w:left="662" w:hanging="360"/>
        <w:rPr>
          <w:rFonts w:asciiTheme="minorHAnsi" w:hAnsiTheme="minorHAnsi" w:cs="Arial"/>
          <w:sz w:val="22"/>
          <w:szCs w:val="22"/>
        </w:rPr>
      </w:pPr>
      <w:r w:rsidRPr="00FB6127">
        <w:rPr>
          <w:rFonts w:asciiTheme="minorHAnsi" w:hAnsiTheme="minorHAnsi" w:cs="Arial"/>
          <w:sz w:val="22"/>
          <w:szCs w:val="22"/>
        </w:rPr>
        <w:t>Review recommendations specific to MHDO made in the Task Force on Health Care Coverage for All of Maine, November 2018 report (to be submitted to the First Regular Session of the 129</w:t>
      </w:r>
      <w:r w:rsidRPr="00FB6127">
        <w:rPr>
          <w:rFonts w:asciiTheme="minorHAnsi" w:hAnsiTheme="minorHAnsi" w:cs="Arial"/>
          <w:sz w:val="22"/>
          <w:szCs w:val="22"/>
          <w:vertAlign w:val="superscript"/>
        </w:rPr>
        <w:t>th</w:t>
      </w:r>
      <w:r w:rsidRPr="00FB6127">
        <w:rPr>
          <w:rFonts w:asciiTheme="minorHAnsi" w:hAnsiTheme="minorHAnsi" w:cs="Arial"/>
          <w:sz w:val="22"/>
          <w:szCs w:val="22"/>
        </w:rPr>
        <w:t xml:space="preserve"> Legislature)</w:t>
      </w:r>
    </w:p>
    <w:p w:rsidR="00FB6127" w:rsidRPr="00FB6127" w:rsidRDefault="00FB6127" w:rsidP="00325356">
      <w:pPr>
        <w:pStyle w:val="DefaultText"/>
        <w:numPr>
          <w:ilvl w:val="0"/>
          <w:numId w:val="1"/>
        </w:numPr>
        <w:tabs>
          <w:tab w:val="left" w:pos="360"/>
        </w:tabs>
        <w:spacing w:after="120"/>
        <w:ind w:left="662" w:hanging="360"/>
        <w:rPr>
          <w:rFonts w:asciiTheme="minorHAnsi" w:hAnsiTheme="minorHAnsi" w:cs="Arial"/>
          <w:sz w:val="22"/>
          <w:szCs w:val="22"/>
        </w:rPr>
      </w:pPr>
      <w:r w:rsidRPr="00FB6127">
        <w:rPr>
          <w:rFonts w:asciiTheme="minorHAnsi" w:hAnsiTheme="minorHAnsi" w:cs="Arial"/>
          <w:sz w:val="22"/>
          <w:szCs w:val="22"/>
        </w:rPr>
        <w:t>Review new Rx report (result of LD 1406)</w:t>
      </w:r>
    </w:p>
    <w:p w:rsidR="00FB6127" w:rsidRPr="00FB6127" w:rsidRDefault="00FB6127" w:rsidP="00325356">
      <w:pPr>
        <w:pStyle w:val="DefaultText"/>
        <w:numPr>
          <w:ilvl w:val="0"/>
          <w:numId w:val="1"/>
        </w:numPr>
        <w:tabs>
          <w:tab w:val="left" w:pos="360"/>
        </w:tabs>
        <w:spacing w:after="120"/>
        <w:ind w:left="662" w:hanging="360"/>
        <w:rPr>
          <w:rFonts w:asciiTheme="minorHAnsi" w:hAnsiTheme="minorHAnsi" w:cs="Arial"/>
          <w:sz w:val="22"/>
          <w:szCs w:val="22"/>
        </w:rPr>
      </w:pPr>
      <w:r w:rsidRPr="00FB6127">
        <w:rPr>
          <w:rFonts w:asciiTheme="minorHAnsi" w:hAnsiTheme="minorHAnsi" w:cs="Arial"/>
          <w:sz w:val="22"/>
          <w:szCs w:val="22"/>
        </w:rPr>
        <w:t>CompareMaine</w:t>
      </w:r>
    </w:p>
    <w:p w:rsidR="00FB6127" w:rsidRPr="00FB6127" w:rsidRDefault="00FB6127" w:rsidP="00FB6127">
      <w:pPr>
        <w:pStyle w:val="DefaultText"/>
        <w:numPr>
          <w:ilvl w:val="0"/>
          <w:numId w:val="1"/>
        </w:numPr>
        <w:tabs>
          <w:tab w:val="left" w:pos="360"/>
        </w:tabs>
        <w:spacing w:after="120"/>
        <w:ind w:left="1800" w:hanging="360"/>
        <w:rPr>
          <w:rFonts w:asciiTheme="minorHAnsi" w:hAnsiTheme="minorHAnsi" w:cs="Arial"/>
          <w:sz w:val="22"/>
          <w:szCs w:val="22"/>
        </w:rPr>
      </w:pPr>
      <w:r w:rsidRPr="00FB6127">
        <w:rPr>
          <w:rFonts w:asciiTheme="minorHAnsi" w:hAnsiTheme="minorHAnsi" w:cs="Arial"/>
          <w:sz w:val="22"/>
          <w:szCs w:val="22"/>
        </w:rPr>
        <w:t>Review status of enhancing cost and quality data on site</w:t>
      </w:r>
    </w:p>
    <w:p w:rsidR="00FB6127" w:rsidRPr="00FB6127" w:rsidRDefault="00FB6127" w:rsidP="00FB6127">
      <w:pPr>
        <w:pStyle w:val="DefaultText"/>
        <w:numPr>
          <w:ilvl w:val="0"/>
          <w:numId w:val="1"/>
        </w:numPr>
        <w:tabs>
          <w:tab w:val="left" w:pos="360"/>
        </w:tabs>
        <w:spacing w:after="120"/>
        <w:ind w:left="1800" w:hanging="360"/>
        <w:rPr>
          <w:rFonts w:asciiTheme="minorHAnsi" w:hAnsiTheme="minorHAnsi" w:cs="Arial"/>
          <w:sz w:val="22"/>
          <w:szCs w:val="22"/>
        </w:rPr>
      </w:pPr>
      <w:r w:rsidRPr="00FB6127">
        <w:rPr>
          <w:rFonts w:asciiTheme="minorHAnsi" w:hAnsiTheme="minorHAnsi" w:cs="Arial"/>
          <w:sz w:val="22"/>
          <w:szCs w:val="22"/>
        </w:rPr>
        <w:t xml:space="preserve">Review status of new grouper </w:t>
      </w:r>
    </w:p>
    <w:p w:rsidR="00FB6127" w:rsidRPr="00FB6127" w:rsidRDefault="00FB6127" w:rsidP="00FB6127">
      <w:pPr>
        <w:pStyle w:val="DefaultText"/>
        <w:numPr>
          <w:ilvl w:val="0"/>
          <w:numId w:val="1"/>
        </w:numPr>
        <w:tabs>
          <w:tab w:val="left" w:pos="360"/>
        </w:tabs>
        <w:spacing w:after="120"/>
        <w:ind w:left="1800" w:hanging="360"/>
        <w:rPr>
          <w:rFonts w:asciiTheme="minorHAnsi" w:hAnsiTheme="minorHAnsi" w:cs="Arial"/>
          <w:sz w:val="22"/>
          <w:szCs w:val="22"/>
        </w:rPr>
      </w:pPr>
      <w:r w:rsidRPr="00FB6127">
        <w:rPr>
          <w:rFonts w:asciiTheme="minorHAnsi" w:hAnsiTheme="minorHAnsi" w:cs="Arial"/>
          <w:sz w:val="22"/>
          <w:szCs w:val="22"/>
        </w:rPr>
        <w:t>Review status of MONAHRQ</w:t>
      </w:r>
    </w:p>
    <w:p w:rsidR="00325356" w:rsidRPr="00FB6127" w:rsidRDefault="00325356" w:rsidP="00325356">
      <w:pPr>
        <w:pStyle w:val="DefaultText"/>
        <w:tabs>
          <w:tab w:val="left" w:pos="360"/>
        </w:tabs>
        <w:spacing w:before="240" w:after="120"/>
        <w:rPr>
          <w:rFonts w:asciiTheme="minorHAnsi" w:hAnsiTheme="minorHAnsi" w:cs="Arial"/>
          <w:sz w:val="22"/>
          <w:szCs w:val="22"/>
        </w:rPr>
      </w:pPr>
      <w:r w:rsidRPr="00FB6127">
        <w:rPr>
          <w:rFonts w:asciiTheme="minorHAnsi" w:hAnsiTheme="minorHAnsi"/>
          <w:b/>
          <w:sz w:val="22"/>
          <w:szCs w:val="22"/>
        </w:rPr>
        <w:t xml:space="preserve">Maine Quality Forum (MQF) </w:t>
      </w:r>
    </w:p>
    <w:p w:rsidR="00FB6127" w:rsidRDefault="00325356" w:rsidP="00FB612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Theme="minorHAnsi" w:hAnsiTheme="minorHAnsi"/>
          <w:b/>
          <w:sz w:val="22"/>
          <w:szCs w:val="22"/>
        </w:rPr>
      </w:pPr>
      <w:r w:rsidRPr="00FB6127">
        <w:rPr>
          <w:rFonts w:asciiTheme="minorHAnsi" w:hAnsiTheme="minorHAnsi"/>
          <w:b/>
          <w:sz w:val="22"/>
          <w:szCs w:val="22"/>
        </w:rPr>
        <w:t>Public Comment</w:t>
      </w:r>
    </w:p>
    <w:p w:rsidR="00F77061" w:rsidRPr="00FB6127" w:rsidRDefault="00325356" w:rsidP="00FB612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40" w:after="240"/>
        <w:rPr>
          <w:rFonts w:asciiTheme="minorHAnsi" w:hAnsiTheme="minorHAnsi"/>
          <w:b/>
          <w:sz w:val="22"/>
          <w:szCs w:val="22"/>
        </w:rPr>
      </w:pPr>
      <w:r w:rsidRPr="00FB6127">
        <w:rPr>
          <w:rFonts w:asciiTheme="minorHAnsi" w:hAnsiTheme="minorHAnsi"/>
          <w:b/>
          <w:sz w:val="22"/>
          <w:szCs w:val="22"/>
        </w:rPr>
        <w:t>Adjourn</w:t>
      </w:r>
    </w:p>
    <w:sectPr w:rsidR="00F77061" w:rsidRPr="00FB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96924"/>
    <w:multiLevelType w:val="singleLevel"/>
    <w:tmpl w:val="9C5CF36A"/>
    <w:lvl w:ilvl="0">
      <w:numFmt w:val="none"/>
      <w:lvlText w:val=""/>
      <w:legacy w:legacy="1" w:legacySpace="0" w:legacyIndent="360"/>
      <w:lvlJc w:val="left"/>
      <w:rPr>
        <w:rFonts w:ascii="Wingdings" w:hAnsi="Wingding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56"/>
    <w:rsid w:val="00083943"/>
    <w:rsid w:val="00166FFB"/>
    <w:rsid w:val="00325356"/>
    <w:rsid w:val="00467413"/>
    <w:rsid w:val="00832561"/>
    <w:rsid w:val="008C0EF7"/>
    <w:rsid w:val="00941FB5"/>
    <w:rsid w:val="00995DEE"/>
    <w:rsid w:val="00B56FBB"/>
    <w:rsid w:val="00D0094C"/>
    <w:rsid w:val="00D5105F"/>
    <w:rsid w:val="00DD6460"/>
    <w:rsid w:val="00F630D6"/>
    <w:rsid w:val="00F77061"/>
    <w:rsid w:val="00FB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60348-545C-408D-9D1E-6A9D4B6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535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DefaultText">
    <w:name w:val="Default Text"/>
    <w:basedOn w:val="Normal"/>
    <w:rsid w:val="00325356"/>
    <w:pPr>
      <w:overflowPunct w:val="0"/>
      <w:autoSpaceDE w:val="0"/>
      <w:autoSpaceDN w:val="0"/>
      <w:adjustRightInd w:val="0"/>
      <w:textAlignment w:val="baseline"/>
    </w:pPr>
    <w:rPr>
      <w:color w:val="000000"/>
      <w:szCs w:val="20"/>
    </w:rPr>
  </w:style>
  <w:style w:type="character" w:customStyle="1" w:styleId="apple-converted-space">
    <w:name w:val="apple-converted-space"/>
    <w:basedOn w:val="DefaultParagraphFont"/>
    <w:rsid w:val="00F6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dcterms:created xsi:type="dcterms:W3CDTF">2018-12-04T21:32:00Z</dcterms:created>
  <dcterms:modified xsi:type="dcterms:W3CDTF">2018-12-04T21:32:00Z</dcterms:modified>
</cp:coreProperties>
</file>