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67" w:rsidRPr="00946563" w:rsidRDefault="00421467" w:rsidP="00421467">
      <w:pPr>
        <w:jc w:val="center"/>
        <w:rPr>
          <w:b/>
        </w:rPr>
      </w:pPr>
      <w:bookmarkStart w:id="0" w:name="_GoBack"/>
      <w:bookmarkEnd w:id="0"/>
      <w:r w:rsidRPr="00946563">
        <w:rPr>
          <w:b/>
        </w:rPr>
        <w:t>MAINE HEALTH DATA ORGANIZATION:</w:t>
      </w:r>
    </w:p>
    <w:p w:rsidR="00421467" w:rsidRPr="00946563" w:rsidRDefault="00421467" w:rsidP="00421467">
      <w:pPr>
        <w:jc w:val="center"/>
        <w:rPr>
          <w:b/>
        </w:rPr>
      </w:pPr>
      <w:r>
        <w:rPr>
          <w:b/>
        </w:rPr>
        <w:t>Payments, Antit</w:t>
      </w:r>
      <w:r w:rsidRPr="00946563">
        <w:rPr>
          <w:b/>
        </w:rPr>
        <w:t>rust</w:t>
      </w:r>
      <w:r>
        <w:rPr>
          <w:b/>
        </w:rPr>
        <w:t>, Secrecy, and Transparency</w:t>
      </w:r>
    </w:p>
    <w:p w:rsidR="00421467" w:rsidRDefault="00421467" w:rsidP="00421467">
      <w:pPr>
        <w:jc w:val="center"/>
        <w:rPr>
          <w:b/>
        </w:rPr>
      </w:pPr>
      <w:r w:rsidRPr="00946563">
        <w:rPr>
          <w:b/>
        </w:rPr>
        <w:t>Deanna White, AAG</w:t>
      </w:r>
    </w:p>
    <w:p w:rsidR="00421467" w:rsidRPr="009E41CB" w:rsidRDefault="007F0421" w:rsidP="009E41CB">
      <w:pPr>
        <w:jc w:val="center"/>
        <w:rPr>
          <w:i/>
          <w:iCs/>
        </w:rPr>
      </w:pPr>
      <w:r>
        <w:rPr>
          <w:b/>
        </w:rPr>
        <w:t>June</w:t>
      </w:r>
      <w:r w:rsidR="00421467">
        <w:rPr>
          <w:b/>
        </w:rPr>
        <w:t xml:space="preserve"> 2016</w:t>
      </w:r>
    </w:p>
    <w:p w:rsidR="00421467" w:rsidRPr="00946563" w:rsidRDefault="00421467" w:rsidP="00421467">
      <w:pPr>
        <w:pStyle w:val="Default"/>
        <w:rPr>
          <w:rFonts w:ascii="Times New Roman" w:hAnsi="Times New Roman" w:cs="Times New Roman"/>
        </w:rPr>
      </w:pPr>
    </w:p>
    <w:p w:rsidR="00401700" w:rsidRPr="00946563" w:rsidRDefault="00401700" w:rsidP="00401700">
      <w:pPr>
        <w:pStyle w:val="ListParagraph"/>
        <w:numPr>
          <w:ilvl w:val="0"/>
          <w:numId w:val="2"/>
        </w:numPr>
      </w:pPr>
      <w:r w:rsidRPr="00946563">
        <w:t>ANTITRUST</w:t>
      </w:r>
      <w:r>
        <w:t>/UNFAIR TRADE ACT</w:t>
      </w:r>
    </w:p>
    <w:p w:rsidR="00273995" w:rsidRDefault="00273995" w:rsidP="00401700">
      <w:pPr>
        <w:pStyle w:val="ListParagraph"/>
        <w:ind w:left="0" w:firstLine="720"/>
      </w:pPr>
      <w:r>
        <w:t>Price transparency in health care is a recent innovation in the US. Maine has been a leader in APCD data collection and price transparency, but has only been collecting such data since 2003, and making it public in a user frie</w:t>
      </w:r>
      <w:r w:rsidR="0095217F">
        <w:t>ndly format for a few years</w:t>
      </w:r>
      <w:r>
        <w:t>.</w:t>
      </w:r>
    </w:p>
    <w:p w:rsidR="00401700" w:rsidRDefault="00273995" w:rsidP="00401700">
      <w:pPr>
        <w:pStyle w:val="ListParagraph"/>
        <w:ind w:left="0" w:firstLine="720"/>
      </w:pPr>
      <w:r>
        <w:t>In contrast, a</w:t>
      </w:r>
      <w:r w:rsidR="00401700" w:rsidRPr="00946563">
        <w:t>ntitrust laws have been enforced on the federal level since the 1890s</w:t>
      </w:r>
      <w:r w:rsidR="00401700">
        <w:t>. This was well before health insurance existed, physicians gained professional status, and hospitals were able to provide reliable treatment</w:t>
      </w:r>
      <w:r w:rsidR="00401700" w:rsidRPr="00946563">
        <w:t>.  Antitrust laws are designed to protect and encourage open competition between businesses</w:t>
      </w:r>
      <w:r w:rsidR="00401700">
        <w:t xml:space="preserve"> or sellers of any product or service</w:t>
      </w:r>
      <w:r w:rsidR="00401700" w:rsidRPr="00946563">
        <w:t xml:space="preserve">. </w:t>
      </w:r>
      <w:r w:rsidR="00401700">
        <w:t>C</w:t>
      </w:r>
      <w:r w:rsidR="00401700" w:rsidRPr="00946563">
        <w:t xml:space="preserve">ompetition provides a powerful incentive for businesses to find ways to increase efficiency, lower prices and improve the quality of their products or services. </w:t>
      </w:r>
      <w:r w:rsidR="00401700" w:rsidRPr="00946563">
        <w:rPr>
          <w:b/>
        </w:rPr>
        <w:t>In a healthy competitive marketplace, consumers have the widest choice of products and services at the lowest prices.</w:t>
      </w:r>
      <w:r w:rsidR="00401700">
        <w:rPr>
          <w:b/>
        </w:rPr>
        <w:t xml:space="preserve">  </w:t>
      </w:r>
      <w:r w:rsidR="00401700">
        <w:t xml:space="preserve">The corollary for businesses in a competitive market is generally less profit per unit or service sold.  Thus for businesses there is constant friction between maximizing profits and being competitive by offering consumers the best products at the lowest price.  </w:t>
      </w:r>
    </w:p>
    <w:p w:rsidR="00401700" w:rsidRPr="00946563" w:rsidRDefault="00401700" w:rsidP="00401700">
      <w:pPr>
        <w:pStyle w:val="ListParagraph"/>
        <w:ind w:left="0" w:firstLine="720"/>
      </w:pPr>
      <w:r w:rsidRPr="00946563">
        <w:t>When businesses restrict competition by agreeing to fix prices, allocating markets, or engaging in other anticompetitive activity, the benefits of competition (lower prices and increased qualit</w:t>
      </w:r>
      <w:r>
        <w:t xml:space="preserve">y of products and services) </w:t>
      </w:r>
      <w:r w:rsidRPr="00946563">
        <w:t>e</w:t>
      </w:r>
      <w:r>
        <w:t>rode</w:t>
      </w:r>
      <w:r w:rsidRPr="00946563">
        <w:t xml:space="preserve">.  </w:t>
      </w:r>
      <w:r>
        <w:t xml:space="preserve">Federal antitrust/unfair trade laws forbid and punish this kind of anti-competitive behavior.  </w:t>
      </w:r>
      <w:r w:rsidRPr="00946563">
        <w:t>Maine has its own antitrust and unfair trade practices laws, which are modeled</w:t>
      </w:r>
      <w:r>
        <w:t xml:space="preserve"> on federal statutes.</w:t>
      </w:r>
      <w:r w:rsidRPr="00946563">
        <w:t xml:space="preserve"> Maine</w:t>
      </w:r>
      <w:r>
        <w:t>’s</w:t>
      </w:r>
      <w:r w:rsidRPr="00946563">
        <w:t xml:space="preserve"> antitrust laws prohibit: </w:t>
      </w:r>
    </w:p>
    <w:p w:rsidR="00401700" w:rsidRPr="00946563" w:rsidRDefault="00401700" w:rsidP="00401700">
      <w:pPr>
        <w:pStyle w:val="ListParagraph"/>
        <w:numPr>
          <w:ilvl w:val="0"/>
          <w:numId w:val="1"/>
        </w:numPr>
      </w:pPr>
      <w:r w:rsidRPr="00946563">
        <w:t>Contracts, combinations or conspiracies in restraint of trade;</w:t>
      </w:r>
    </w:p>
    <w:p w:rsidR="00401700" w:rsidRPr="00946563" w:rsidRDefault="00401700" w:rsidP="00401700">
      <w:pPr>
        <w:pStyle w:val="ListParagraph"/>
        <w:numPr>
          <w:ilvl w:val="0"/>
          <w:numId w:val="1"/>
        </w:numPr>
      </w:pPr>
      <w:r w:rsidRPr="00946563">
        <w:t xml:space="preserve">Monopolization offenses; </w:t>
      </w:r>
    </w:p>
    <w:p w:rsidR="00401700" w:rsidRPr="00946563" w:rsidRDefault="00401700" w:rsidP="00401700">
      <w:pPr>
        <w:pStyle w:val="ListParagraph"/>
        <w:numPr>
          <w:ilvl w:val="0"/>
          <w:numId w:val="1"/>
        </w:numPr>
      </w:pPr>
      <w:r w:rsidRPr="00946563">
        <w:t>Mergers and acquisitions which tend to substantially reduce competition; and</w:t>
      </w:r>
    </w:p>
    <w:p w:rsidR="00401700" w:rsidRPr="00946563" w:rsidRDefault="00401700" w:rsidP="00401700">
      <w:pPr>
        <w:pStyle w:val="ListParagraph"/>
        <w:numPr>
          <w:ilvl w:val="0"/>
          <w:numId w:val="1"/>
        </w:numPr>
      </w:pPr>
      <w:r w:rsidRPr="00946563">
        <w:t xml:space="preserve">Unfair methods of competition, as well as unfair acts and practices in the conduct of trade or commerce. </w:t>
      </w:r>
    </w:p>
    <w:p w:rsidR="00401700" w:rsidRDefault="00401700" w:rsidP="00401700">
      <w:r w:rsidRPr="00946563">
        <w:t>Maine’s Monopolies and Profit</w:t>
      </w:r>
      <w:r>
        <w:t>eering Act (10 MRS Chapter 201, §§1101-1110)</w:t>
      </w:r>
      <w:r w:rsidRPr="00946563">
        <w:t xml:space="preserve"> governs the first three and our Unfair Trade </w:t>
      </w:r>
      <w:r>
        <w:t>Practices Act (5 MRS Chapter 10, §§205-A-214)</w:t>
      </w:r>
      <w:r w:rsidRPr="00946563">
        <w:t xml:space="preserve"> governs the fourth.  These laws cover the health care industry. The AG’s Office has brought a number of actions involving </w:t>
      </w:r>
      <w:r w:rsidR="0095217F">
        <w:t>provider mergers,</w:t>
      </w:r>
      <w:r w:rsidRPr="00946563">
        <w:t xml:space="preserve"> price fixing, market allocation</w:t>
      </w:r>
      <w:r>
        <w:t>,</w:t>
      </w:r>
      <w:r w:rsidRPr="00946563">
        <w:t xml:space="preserve"> and </w:t>
      </w:r>
      <w:r>
        <w:t>“</w:t>
      </w:r>
      <w:r w:rsidRPr="00946563">
        <w:t>concerted refusal to deal.</w:t>
      </w:r>
      <w:r>
        <w:t>”</w:t>
      </w:r>
    </w:p>
    <w:p w:rsidR="00401700" w:rsidRDefault="00401700" w:rsidP="00401700">
      <w:r>
        <w:tab/>
      </w:r>
      <w:r w:rsidRPr="00946563">
        <w:t xml:space="preserve">Antitrust enforcement at the federal level is </w:t>
      </w:r>
      <w:r>
        <w:t xml:space="preserve">done </w:t>
      </w:r>
      <w:r w:rsidRPr="00946563">
        <w:t xml:space="preserve">by </w:t>
      </w:r>
      <w:r>
        <w:t>the Department of Justice (“</w:t>
      </w:r>
      <w:r w:rsidRPr="00946563">
        <w:t>DOJ</w:t>
      </w:r>
      <w:r>
        <w:t>”)</w:t>
      </w:r>
      <w:r w:rsidRPr="00946563">
        <w:t xml:space="preserve"> and the </w:t>
      </w:r>
      <w:r>
        <w:t>Federal Trade Commission (“</w:t>
      </w:r>
      <w:r w:rsidRPr="00946563">
        <w:t>FTC</w:t>
      </w:r>
      <w:r>
        <w:t>”)</w:t>
      </w:r>
      <w:r w:rsidRPr="00946563">
        <w:t xml:space="preserve">. These agencies </w:t>
      </w:r>
      <w:r>
        <w:t>pursue</w:t>
      </w:r>
      <w:r w:rsidRPr="00946563">
        <w:t xml:space="preserve"> cas</w:t>
      </w:r>
      <w:r>
        <w:t>es similar to those the state takes action on</w:t>
      </w:r>
      <w:r w:rsidRPr="00946563">
        <w:t>. In addition the FTC reviews state actions and legislation to assess whe</w:t>
      </w:r>
      <w:r>
        <w:t xml:space="preserve">ther they think it will help or </w:t>
      </w:r>
      <w:r w:rsidRPr="00946563">
        <w:t>hinder competition.</w:t>
      </w:r>
    </w:p>
    <w:p w:rsidR="00CF2DAE" w:rsidRDefault="00401700" w:rsidP="00401700">
      <w:r>
        <w:tab/>
      </w:r>
      <w:r w:rsidRPr="00275B06">
        <w:t>Some activities by competitors are deemed so harmful that they are considered per se violations – it does not matter whether or not the activities actually have a harmful effect on competition; the effect is presumed. These generally include price fixing, allocation of customers, markets or territories, bid-rigging, and some forms of boycotts.</w:t>
      </w:r>
      <w:r>
        <w:t xml:space="preserve">  However, there must be some kind of agreement (contract, combination or conspiracy) </w:t>
      </w:r>
      <w:r w:rsidR="00CF2DAE">
        <w:t>involved.  So</w:t>
      </w:r>
      <w:r>
        <w:t xml:space="preserve">, even for price-fixing, tacit conduct is not enough to prove an antitrust </w:t>
      </w:r>
      <w:r>
        <w:lastRenderedPageBreak/>
        <w:t xml:space="preserve">violation. </w:t>
      </w:r>
      <w:r w:rsidRPr="00FB6810">
        <w:rPr>
          <w:i/>
        </w:rPr>
        <w:t>See, e.g., In re: Text Messaging Antitrust Litigation,</w:t>
      </w:r>
      <w:r>
        <w:t xml:space="preserve"> 782 F.3d 867 (7</w:t>
      </w:r>
      <w:r w:rsidRPr="00DC6706">
        <w:rPr>
          <w:vertAlign w:val="superscript"/>
        </w:rPr>
        <w:t>th</w:t>
      </w:r>
      <w:r>
        <w:t xml:space="preserve"> Cir. 2015).  </w:t>
      </w:r>
    </w:p>
    <w:p w:rsidR="00401700" w:rsidRDefault="00401700" w:rsidP="00401700">
      <w:r>
        <w:tab/>
      </w:r>
    </w:p>
    <w:p w:rsidR="00421467" w:rsidRDefault="00421467" w:rsidP="00941B15">
      <w:pPr>
        <w:pStyle w:val="ListParagraph"/>
        <w:numPr>
          <w:ilvl w:val="0"/>
          <w:numId w:val="2"/>
        </w:numPr>
      </w:pPr>
      <w:r>
        <w:t>MHDO AND PRICE TRANSPARENCY</w:t>
      </w:r>
    </w:p>
    <w:p w:rsidR="00941B15" w:rsidRDefault="00941B15" w:rsidP="00401700"/>
    <w:p w:rsidR="00421467" w:rsidRPr="00941B15" w:rsidRDefault="00941B15" w:rsidP="00941B15">
      <w:pPr>
        <w:pStyle w:val="Default"/>
        <w:ind w:firstLine="720"/>
        <w:rPr>
          <w:rFonts w:ascii="Times New Roman" w:hAnsi="Times New Roman" w:cs="Times New Roman"/>
        </w:rPr>
      </w:pPr>
      <w:r>
        <w:rPr>
          <w:rFonts w:ascii="Times New Roman" w:hAnsi="Times New Roman" w:cs="Times New Roman"/>
        </w:rPr>
        <w:t>Price transparency</w:t>
      </w:r>
      <w:r w:rsidR="00401700">
        <w:rPr>
          <w:rFonts w:ascii="Times New Roman" w:hAnsi="Times New Roman" w:cs="Times New Roman"/>
        </w:rPr>
        <w:t xml:space="preserve"> laws tend to clarify pricing disparity between providers, within providers for different payers, and between commercial payer</w:t>
      </w:r>
      <w:r>
        <w:rPr>
          <w:rFonts w:ascii="Times New Roman" w:hAnsi="Times New Roman" w:cs="Times New Roman"/>
        </w:rPr>
        <w:t>s.  Because the purpose</w:t>
      </w:r>
      <w:r w:rsidR="00401700">
        <w:rPr>
          <w:rFonts w:ascii="Times New Roman" w:hAnsi="Times New Roman" w:cs="Times New Roman"/>
        </w:rPr>
        <w:t xml:space="preserve"> price transparency </w:t>
      </w:r>
      <w:r>
        <w:rPr>
          <w:rFonts w:ascii="Times New Roman" w:hAnsi="Times New Roman" w:cs="Times New Roman"/>
        </w:rPr>
        <w:t>provisions are</w:t>
      </w:r>
      <w:r w:rsidR="00401700">
        <w:rPr>
          <w:rFonts w:ascii="Times New Roman" w:hAnsi="Times New Roman" w:cs="Times New Roman"/>
        </w:rPr>
        <w:t xml:space="preserve"> to hold down the price of health care, and hence health insurance costs, they can be unpopular wi</w:t>
      </w:r>
      <w:r>
        <w:rPr>
          <w:rFonts w:ascii="Times New Roman" w:hAnsi="Times New Roman" w:cs="Times New Roman"/>
        </w:rPr>
        <w:t>th both providers and</w:t>
      </w:r>
      <w:r w:rsidR="00401700">
        <w:rPr>
          <w:rFonts w:ascii="Times New Roman" w:hAnsi="Times New Roman" w:cs="Times New Roman"/>
        </w:rPr>
        <w:t xml:space="preserve"> payers. Recently data submitters to MHDO have questioned the antitrust implications of such pricing clarity.  </w:t>
      </w:r>
    </w:p>
    <w:p w:rsidR="00387F19" w:rsidRDefault="00421467" w:rsidP="00421467">
      <w:pPr>
        <w:pStyle w:val="ListParagraph"/>
        <w:ind w:left="0" w:firstLine="360"/>
      </w:pPr>
      <w:r w:rsidRPr="00946563">
        <w:t xml:space="preserve"> </w:t>
      </w:r>
      <w:r>
        <w:tab/>
      </w:r>
      <w:r w:rsidR="00941B15" w:rsidRPr="00595BA1">
        <w:t xml:space="preserve">The purposes of </w:t>
      </w:r>
      <w:r w:rsidR="00941B15">
        <w:t xml:space="preserve">MHDO </w:t>
      </w:r>
      <w:r w:rsidR="00941B15" w:rsidRPr="00595BA1">
        <w:t xml:space="preserve">are to create and maintain a useful, objective, reliable and comprehensive health information database that is used to improve the health of Maine citizens and to issue reports, as provided in section 8712. This database must be publicly accessible while protecting patient confidentiality and respecting providers of care. </w:t>
      </w:r>
      <w:r w:rsidR="00941B15">
        <w:t>22 MRS §§8703(1).  MHDO is charged with promoting public transparency of the quality and cost of health care in Maine.</w:t>
      </w:r>
      <w:r w:rsidR="00B74DB8">
        <w:t xml:space="preserve"> 22 MRS §§8712. </w:t>
      </w:r>
      <w:r>
        <w:t xml:space="preserve">The reports mandated by §8712, include </w:t>
      </w:r>
      <w:r w:rsidRPr="00946563">
        <w:t xml:space="preserve">reports on “payments for services rendered by health care facilities and practitioners to residents of the state…” Section 8712 has been added to and rearranged several times including by PL 2009, c. 350 “An Act to Protect Consumers and Small Business Owners from Rising Health Care Costs.”  </w:t>
      </w:r>
      <w:r>
        <w:tab/>
      </w:r>
    </w:p>
    <w:p w:rsidR="00421467" w:rsidRDefault="00387F19" w:rsidP="00421467">
      <w:pPr>
        <w:pStyle w:val="ListParagraph"/>
        <w:ind w:left="0" w:firstLine="360"/>
      </w:pPr>
      <w:r>
        <w:tab/>
      </w:r>
      <w:r w:rsidR="00421467" w:rsidRPr="00946563">
        <w:t xml:space="preserve">Section </w:t>
      </w:r>
      <w:r w:rsidR="00421467" w:rsidRPr="00E83A8A">
        <w:rPr>
          <w:bCs/>
        </w:rPr>
        <w:t>8712 Reports</w:t>
      </w:r>
      <w:r w:rsidR="00421467" w:rsidRPr="00D23C93">
        <w:rPr>
          <w:b/>
          <w:bCs/>
        </w:rPr>
        <w:t xml:space="preserve"> </w:t>
      </w:r>
      <w:r w:rsidR="00B74DB8">
        <w:t>currently say</w:t>
      </w:r>
      <w:r w:rsidR="00421467" w:rsidRPr="00946563">
        <w:t>s:</w:t>
      </w:r>
    </w:p>
    <w:p w:rsidR="00421467" w:rsidRPr="00946563" w:rsidRDefault="00387F19" w:rsidP="00421467">
      <w:pPr>
        <w:pStyle w:val="ListParagraph"/>
        <w:ind w:left="0"/>
      </w:pPr>
      <w:r>
        <w:rPr>
          <w:b/>
          <w:bCs/>
        </w:rPr>
        <w:t>“</w:t>
      </w:r>
      <w:r w:rsidR="00421467" w:rsidRPr="00D23C93">
        <w:rPr>
          <w:b/>
          <w:bCs/>
        </w:rPr>
        <w:t>1.</w:t>
      </w:r>
      <w:r w:rsidR="00421467" w:rsidRPr="00946563">
        <w:t> </w:t>
      </w:r>
      <w:r w:rsidR="00421467" w:rsidRPr="00D23C93">
        <w:rPr>
          <w:b/>
          <w:bCs/>
        </w:rPr>
        <w:t>Quality.</w:t>
      </w:r>
      <w:r w:rsidR="00421467" w:rsidRPr="00946563">
        <w:t>  The organization shall promote public transparency of the quality and cost of health care in the State in conjuncti</w:t>
      </w:r>
      <w:r w:rsidR="00421467">
        <w:t>on with the Maine Quality Forum</w:t>
      </w:r>
      <w:r w:rsidR="00421467" w:rsidRPr="00946563">
        <w:t>…</w:t>
      </w:r>
      <w:r w:rsidR="00421467">
        <w:t xml:space="preserve">  </w:t>
      </w:r>
      <w:r w:rsidR="00421467" w:rsidRPr="00D23C93">
        <w:rPr>
          <w:b/>
          <w:bCs/>
        </w:rPr>
        <w:t>2.</w:t>
      </w:r>
      <w:r w:rsidR="00421467" w:rsidRPr="00946563">
        <w:t> </w:t>
      </w:r>
      <w:r w:rsidR="00421467" w:rsidRPr="00D23C93">
        <w:rPr>
          <w:b/>
          <w:bCs/>
        </w:rPr>
        <w:t>Payments.</w:t>
      </w:r>
      <w:r w:rsidR="00421467" w:rsidRPr="00946563">
        <w:t xml:space="preserve">  The organization shall create a publicly accessible interactive website that presents reports related to </w:t>
      </w:r>
      <w:r w:rsidR="00421467" w:rsidRPr="00D23C93">
        <w:rPr>
          <w:b/>
        </w:rPr>
        <w:t>payments for services rendered by health care facilities and practitioners to residents of the State</w:t>
      </w:r>
      <w:r w:rsidR="00421467" w:rsidRPr="00946563">
        <w:t xml:space="preserve">. The services presented must include, but not be limited to, imaging, preventative health, radiology and surgical services and other services that are predominantly elective and may be provided to a large number of patients who do not have health insurance or are underinsured. The website must also be </w:t>
      </w:r>
      <w:r w:rsidR="00421467" w:rsidRPr="00D23C93">
        <w:rPr>
          <w:b/>
        </w:rPr>
        <w:t>constructed to display prices paid by individual commercial health insurance companies, 3rd-party administrators and, unless prohibited by federal law, governmental payors</w:t>
      </w:r>
      <w:r w:rsidR="00421467" w:rsidRPr="00946563">
        <w:t>. …</w:t>
      </w:r>
      <w:r>
        <w:t>”</w:t>
      </w:r>
    </w:p>
    <w:p w:rsidR="00421467" w:rsidRDefault="00421467" w:rsidP="00E932B7">
      <w:pPr>
        <w:pStyle w:val="Default"/>
        <w:ind w:firstLine="360"/>
        <w:rPr>
          <w:rFonts w:ascii="Times New Roman" w:hAnsi="Times New Roman" w:cs="Times New Roman"/>
        </w:rPr>
      </w:pPr>
      <w:r>
        <w:rPr>
          <w:rFonts w:ascii="Times New Roman" w:hAnsi="Times New Roman" w:cs="Times New Roman"/>
        </w:rPr>
        <w:tab/>
        <w:t>Thus Maine’s law requires that prices paid by individual commercial carriers for services rendered by healthcare facilities and practitioners to residents of the state be made publically available.</w:t>
      </w:r>
      <w:r>
        <w:rPr>
          <w:rStyle w:val="FootnoteReference"/>
          <w:rFonts w:ascii="Times New Roman" w:hAnsi="Times New Roman" w:cs="Times New Roman"/>
        </w:rPr>
        <w:footnoteReference w:id="1"/>
      </w:r>
      <w:r>
        <w:rPr>
          <w:rFonts w:ascii="Times New Roman" w:hAnsi="Times New Roman" w:cs="Times New Roman"/>
        </w:rPr>
        <w:t xml:space="preserve">  </w:t>
      </w:r>
    </w:p>
    <w:p w:rsidR="00E932B7" w:rsidRPr="00E932B7" w:rsidRDefault="00E932B7" w:rsidP="00E932B7">
      <w:pPr>
        <w:pStyle w:val="Default"/>
        <w:ind w:firstLine="360"/>
        <w:rPr>
          <w:rFonts w:ascii="Times New Roman" w:hAnsi="Times New Roman" w:cs="Times New Roman"/>
        </w:rPr>
      </w:pPr>
    </w:p>
    <w:p w:rsidR="00421467" w:rsidRDefault="00421467" w:rsidP="00421467">
      <w:pPr>
        <w:pStyle w:val="Default"/>
        <w:ind w:left="720"/>
        <w:rPr>
          <w:rFonts w:ascii="Times New Roman" w:hAnsi="Times New Roman" w:cs="Times New Roman"/>
        </w:rPr>
      </w:pPr>
    </w:p>
    <w:p w:rsidR="00421467" w:rsidRDefault="00387F19" w:rsidP="00421467">
      <w:r>
        <w:t>III</w:t>
      </w:r>
      <w:r w:rsidR="00421467">
        <w:t xml:space="preserve">.  </w:t>
      </w:r>
      <w:r w:rsidR="00421467">
        <w:tab/>
        <w:t>ANTITRUST/UTA</w:t>
      </w:r>
      <w:r>
        <w:t xml:space="preserve"> AND MHDO DATA</w:t>
      </w:r>
    </w:p>
    <w:p w:rsidR="00401700" w:rsidRDefault="00401700" w:rsidP="00401700">
      <w:pPr>
        <w:pStyle w:val="Default"/>
        <w:ind w:firstLine="720"/>
        <w:rPr>
          <w:rFonts w:ascii="Times New Roman" w:eastAsia="Times New Roman" w:hAnsi="Times New Roman" w:cs="Times New Roman"/>
          <w:color w:val="auto"/>
        </w:rPr>
      </w:pPr>
    </w:p>
    <w:p w:rsidR="00401700" w:rsidRPr="00946563" w:rsidRDefault="00387F19" w:rsidP="00401700">
      <w:pPr>
        <w:pStyle w:val="Default"/>
        <w:ind w:firstLine="720"/>
        <w:rPr>
          <w:rFonts w:ascii="Times New Roman" w:hAnsi="Times New Roman" w:cs="Times New Roman"/>
        </w:rPr>
      </w:pPr>
      <w:r>
        <w:rPr>
          <w:rFonts w:ascii="Times New Roman" w:hAnsi="Times New Roman" w:cs="Times New Roman"/>
        </w:rPr>
        <w:lastRenderedPageBreak/>
        <w:t>P</w:t>
      </w:r>
      <w:r w:rsidR="00401700">
        <w:rPr>
          <w:rFonts w:ascii="Times New Roman" w:hAnsi="Times New Roman" w:cs="Times New Roman"/>
        </w:rPr>
        <w:t xml:space="preserve">roblems arise </w:t>
      </w:r>
      <w:r>
        <w:rPr>
          <w:rFonts w:ascii="Times New Roman" w:hAnsi="Times New Roman" w:cs="Times New Roman"/>
        </w:rPr>
        <w:t xml:space="preserve">when </w:t>
      </w:r>
      <w:r w:rsidR="00401700" w:rsidRPr="00946563">
        <w:rPr>
          <w:rFonts w:ascii="Times New Roman" w:hAnsi="Times New Roman" w:cs="Times New Roman"/>
        </w:rPr>
        <w:t>exchange</w:t>
      </w:r>
      <w:r>
        <w:rPr>
          <w:rFonts w:ascii="Times New Roman" w:hAnsi="Times New Roman" w:cs="Times New Roman"/>
        </w:rPr>
        <w:t xml:space="preserve"> of pricing information</w:t>
      </w:r>
      <w:r w:rsidR="00401700" w:rsidRPr="00946563">
        <w:rPr>
          <w:rFonts w:ascii="Times New Roman" w:hAnsi="Times New Roman" w:cs="Times New Roman"/>
        </w:rPr>
        <w:t xml:space="preserve"> is used as part of a mutual agreement or understanding to influence prices</w:t>
      </w:r>
      <w:r w:rsidR="00401700">
        <w:rPr>
          <w:rFonts w:ascii="Times New Roman" w:hAnsi="Times New Roman" w:cs="Times New Roman"/>
        </w:rPr>
        <w:t xml:space="preserve">.  </w:t>
      </w:r>
      <w:r w:rsidR="00401700" w:rsidRPr="00946563">
        <w:rPr>
          <w:rFonts w:ascii="Times New Roman" w:hAnsi="Times New Roman" w:cs="Times New Roman"/>
        </w:rPr>
        <w:t>Most information exchanges are competitively neutral or even pro-competitive</w:t>
      </w:r>
      <w:r w:rsidR="00401700">
        <w:rPr>
          <w:rFonts w:ascii="Times New Roman" w:hAnsi="Times New Roman" w:cs="Times New Roman"/>
        </w:rPr>
        <w:t xml:space="preserve">.  </w:t>
      </w:r>
      <w:r w:rsidR="00401700" w:rsidRPr="00AE3711">
        <w:rPr>
          <w:rFonts w:ascii="Times New Roman" w:hAnsi="Times New Roman" w:cs="Times New Roman"/>
        </w:rPr>
        <w:t>Benefits</w:t>
      </w:r>
      <w:r w:rsidR="00401700">
        <w:rPr>
          <w:rFonts w:ascii="Times New Roman" w:hAnsi="Times New Roman" w:cs="Times New Roman"/>
        </w:rPr>
        <w:t xml:space="preserve"> include that it a</w:t>
      </w:r>
      <w:r w:rsidR="00401700" w:rsidRPr="00946563">
        <w:rPr>
          <w:rFonts w:ascii="Times New Roman" w:hAnsi="Times New Roman" w:cs="Times New Roman"/>
        </w:rPr>
        <w:t xml:space="preserve">llows consumers to better shop by price and gets competitors to compete on price. </w:t>
      </w:r>
      <w:r w:rsidR="00401700">
        <w:rPr>
          <w:rFonts w:ascii="Times New Roman" w:hAnsi="Times New Roman" w:cs="Times New Roman"/>
        </w:rPr>
        <w:t>As one commentator said it is hard to compete on price if you do not know what a competitor’s price is.  Also, price transparency may have a s</w:t>
      </w:r>
      <w:r w:rsidR="00401700" w:rsidRPr="00946563">
        <w:rPr>
          <w:rFonts w:ascii="Times New Roman" w:hAnsi="Times New Roman" w:cs="Times New Roman"/>
        </w:rPr>
        <w:t xml:space="preserve">elf-auditing effect when competitors see </w:t>
      </w:r>
      <w:r w:rsidR="00401700">
        <w:rPr>
          <w:rFonts w:ascii="Times New Roman" w:hAnsi="Times New Roman" w:cs="Times New Roman"/>
        </w:rPr>
        <w:t>how well others are performing.</w:t>
      </w:r>
    </w:p>
    <w:p w:rsidR="00401700" w:rsidRPr="00387F19" w:rsidRDefault="00401700" w:rsidP="00387F19">
      <w:pPr>
        <w:pStyle w:val="Default"/>
        <w:rPr>
          <w:rFonts w:ascii="Times New Roman" w:hAnsi="Times New Roman" w:cs="Times New Roman"/>
        </w:rPr>
      </w:pPr>
      <w:r>
        <w:rPr>
          <w:rFonts w:ascii="Times New Roman" w:hAnsi="Times New Roman" w:cs="Times New Roman"/>
        </w:rPr>
        <w:tab/>
      </w:r>
      <w:r w:rsidRPr="00AA2808">
        <w:rPr>
          <w:rFonts w:ascii="Times New Roman" w:hAnsi="Times New Roman" w:cs="Times New Roman"/>
        </w:rPr>
        <w:t>Risks</w:t>
      </w:r>
      <w:r>
        <w:rPr>
          <w:rFonts w:ascii="Times New Roman" w:hAnsi="Times New Roman" w:cs="Times New Roman"/>
        </w:rPr>
        <w:t xml:space="preserve"> include potential c</w:t>
      </w:r>
      <w:r w:rsidRPr="00946563">
        <w:rPr>
          <w:rFonts w:ascii="Times New Roman" w:hAnsi="Times New Roman" w:cs="Times New Roman"/>
        </w:rPr>
        <w:t>ollusion on prices</w:t>
      </w:r>
      <w:r>
        <w:rPr>
          <w:rFonts w:ascii="Times New Roman" w:hAnsi="Times New Roman" w:cs="Times New Roman"/>
        </w:rPr>
        <w:t>.  It could make it simpler for</w:t>
      </w:r>
      <w:r w:rsidRPr="00946563">
        <w:rPr>
          <w:rFonts w:ascii="Times New Roman" w:hAnsi="Times New Roman" w:cs="Times New Roman"/>
        </w:rPr>
        <w:t xml:space="preserve"> competitors </w:t>
      </w:r>
      <w:r>
        <w:rPr>
          <w:rFonts w:ascii="Times New Roman" w:hAnsi="Times New Roman" w:cs="Times New Roman"/>
        </w:rPr>
        <w:t>to communic</w:t>
      </w:r>
      <w:r w:rsidRPr="00946563">
        <w:rPr>
          <w:rFonts w:ascii="Times New Roman" w:hAnsi="Times New Roman" w:cs="Times New Roman"/>
        </w:rPr>
        <w:t>a</w:t>
      </w:r>
      <w:r>
        <w:rPr>
          <w:rFonts w:ascii="Times New Roman" w:hAnsi="Times New Roman" w:cs="Times New Roman"/>
        </w:rPr>
        <w:t>te a</w:t>
      </w:r>
      <w:r w:rsidRPr="00946563">
        <w:rPr>
          <w:rFonts w:ascii="Times New Roman" w:hAnsi="Times New Roman" w:cs="Times New Roman"/>
        </w:rPr>
        <w:t>bout mutually acceptable levels</w:t>
      </w:r>
      <w:r>
        <w:rPr>
          <w:rFonts w:ascii="Times New Roman" w:hAnsi="Times New Roman" w:cs="Times New Roman"/>
        </w:rPr>
        <w:t xml:space="preserve"> of pricing</w:t>
      </w:r>
      <w:r w:rsidRPr="00946563">
        <w:rPr>
          <w:rFonts w:ascii="Times New Roman" w:hAnsi="Times New Roman" w:cs="Times New Roman"/>
        </w:rPr>
        <w:t xml:space="preserve">.  </w:t>
      </w:r>
      <w:r>
        <w:rPr>
          <w:rFonts w:ascii="Times New Roman" w:hAnsi="Times New Roman" w:cs="Times New Roman"/>
        </w:rPr>
        <w:t xml:space="preserve">Of course, as discussed above, there would have to be an agreement made by the competitors to make it illegal.  </w:t>
      </w:r>
      <w:r w:rsidRPr="00AA2808">
        <w:rPr>
          <w:rFonts w:ascii="Times New Roman" w:hAnsi="Times New Roman" w:cs="Times New Roman"/>
        </w:rPr>
        <w:t>Even without overt</w:t>
      </w:r>
      <w:r w:rsidR="00D9521D">
        <w:rPr>
          <w:rFonts w:ascii="Times New Roman" w:hAnsi="Times New Roman" w:cs="Times New Roman"/>
        </w:rPr>
        <w:t xml:space="preserve"> price-fixing or illegal conduct</w:t>
      </w:r>
      <w:r>
        <w:rPr>
          <w:rFonts w:ascii="Times New Roman" w:hAnsi="Times New Roman" w:cs="Times New Roman"/>
        </w:rPr>
        <w:t xml:space="preserve"> price transparency</w:t>
      </w:r>
      <w:r w:rsidRPr="00946563">
        <w:rPr>
          <w:rFonts w:ascii="Times New Roman" w:hAnsi="Times New Roman" w:cs="Times New Roman"/>
        </w:rPr>
        <w:t xml:space="preserve"> may lead to price uni</w:t>
      </w:r>
      <w:r>
        <w:rPr>
          <w:rFonts w:ascii="Times New Roman" w:hAnsi="Times New Roman" w:cs="Times New Roman"/>
        </w:rPr>
        <w:t>formity at the highest level. (i.e. tacit collusion).  While this would be unfortun</w:t>
      </w:r>
      <w:r w:rsidR="00387F19">
        <w:rPr>
          <w:rFonts w:ascii="Times New Roman" w:hAnsi="Times New Roman" w:cs="Times New Roman"/>
        </w:rPr>
        <w:t>ate, it is not illegal.  I</w:t>
      </w:r>
      <w:r>
        <w:rPr>
          <w:rFonts w:ascii="Times New Roman" w:hAnsi="Times New Roman" w:cs="Times New Roman"/>
        </w:rPr>
        <w:t xml:space="preserve">ronically, any tacit collusion would likely appear in the </w:t>
      </w:r>
      <w:r w:rsidR="00387F19">
        <w:rPr>
          <w:rFonts w:ascii="Times New Roman" w:hAnsi="Times New Roman" w:cs="Times New Roman"/>
        </w:rPr>
        <w:t xml:space="preserve">MHDO </w:t>
      </w:r>
      <w:r>
        <w:rPr>
          <w:rFonts w:ascii="Times New Roman" w:hAnsi="Times New Roman" w:cs="Times New Roman"/>
        </w:rPr>
        <w:t xml:space="preserve">data and on the price compare website.  </w:t>
      </w:r>
    </w:p>
    <w:p w:rsidR="00421467" w:rsidRDefault="00401700" w:rsidP="00421467">
      <w:r>
        <w:tab/>
      </w:r>
      <w:r w:rsidR="00421467" w:rsidRPr="00946563">
        <w:t xml:space="preserve">In 1996, </w:t>
      </w:r>
      <w:r w:rsidR="00421467">
        <w:t xml:space="preserve">the DOJ and FTC </w:t>
      </w:r>
      <w:r w:rsidR="00421467" w:rsidRPr="00946563">
        <w:t>issued the Statements of Antitrust Enforcement Policy in Health Care. These statements are aimed at providers.  Statement 6 (Provider Participation In Exchanges Of Price and Cost Information) applies to prices charged and compensation paid by health providers.  All of the Statements in this policy had to do with joint</w:t>
      </w:r>
      <w:r w:rsidR="00421467" w:rsidRPr="00362D54">
        <w:rPr>
          <w:i/>
        </w:rPr>
        <w:t xml:space="preserve"> provider</w:t>
      </w:r>
      <w:r w:rsidR="00421467" w:rsidRPr="00946563">
        <w:t xml:space="preserve"> activity which was rapidly developing at that time.  </w:t>
      </w:r>
      <w:r w:rsidR="00D63A35">
        <w:t>The feds noted both good and bad potential</w:t>
      </w:r>
      <w:r w:rsidR="00421467">
        <w:t xml:space="preserve">: </w:t>
      </w:r>
    </w:p>
    <w:p w:rsidR="00421467" w:rsidRDefault="00421467" w:rsidP="00421467"/>
    <w:p w:rsidR="00421467" w:rsidRPr="00D33B98" w:rsidRDefault="00421467" w:rsidP="00421467">
      <w:pPr>
        <w:ind w:left="720" w:right="1440"/>
      </w:pPr>
      <w:r w:rsidRPr="00D33B98">
        <w:t>“</w:t>
      </w:r>
      <w:r w:rsidRPr="00D33B98">
        <w:rPr>
          <w:color w:val="171E24"/>
          <w:shd w:val="clear" w:color="auto" w:fill="FFFFFF"/>
        </w:rPr>
        <w:t>Participation by competing providers in surveys of prices for health care services, or surveys of salaries, wages or benefits of personnel, does not necessarily raise antitrust concerns. In fact, such surveys can have significant benefits for health care consumers. Providers can use information derived from price and compensation surveys to price their services more competitively and to offer compensation that attracts highly qualified personnel. Purchasers can use price survey information to make more informed decisions when buying health care services. Without appropriate safeguards, however, information exchanges among competing providers may facilitate collusion or otherwise reduce competition on prices or compensation, resulting in increased prices, or reduced quality and availability of health care services. A collusive restriction on the compensation paid to health care employees, for example, could adversely affect the availability of health care personnel.”</w:t>
      </w:r>
    </w:p>
    <w:p w:rsidR="00421467" w:rsidRPr="00946563" w:rsidRDefault="00421467" w:rsidP="00421467"/>
    <w:p w:rsidR="00421467" w:rsidRDefault="00421467" w:rsidP="00421467">
      <w:r>
        <w:tab/>
        <w:t xml:space="preserve">In </w:t>
      </w:r>
      <w:r w:rsidRPr="00946563">
        <w:t xml:space="preserve">most of those </w:t>
      </w:r>
      <w:r>
        <w:t xml:space="preserve">9 statements, </w:t>
      </w:r>
      <w:r w:rsidRPr="00946563">
        <w:t xml:space="preserve">the USDOJ and FTC gave health care providers guidance in the form of antitrust </w:t>
      </w:r>
      <w:r>
        <w:t>“</w:t>
      </w:r>
      <w:r w:rsidRPr="00946563">
        <w:t>safety zone</w:t>
      </w:r>
      <w:r w:rsidR="00D63A35">
        <w:t>s</w:t>
      </w:r>
      <w:r w:rsidRPr="00946563">
        <w:t>.</w:t>
      </w:r>
      <w:r>
        <w:t>”</w:t>
      </w:r>
      <w:r w:rsidRPr="00946563">
        <w:t xml:space="preserve"> These safety zones describe conduct (of the providers) that the enforcement agencies “will not challenge under the antitrust laws, absent extraordinary circumstances.” </w:t>
      </w:r>
      <w:r>
        <w:t xml:space="preserve"> The agencies specifically </w:t>
      </w:r>
      <w:r w:rsidR="00D63A35">
        <w:t>note in the introduction</w:t>
      </w:r>
      <w:r w:rsidRPr="00946563">
        <w:t xml:space="preserve"> “some parties have interpreted the safety zones as defining the limits of joint conduct that is permissible under the antitrust laws. This view is incorrect.” </w:t>
      </w:r>
      <w:r>
        <w:t xml:space="preserve"> Thus even for information amongst providers, these criteria do not “forbid” information exchanges that fall outside these parameters.</w:t>
      </w:r>
    </w:p>
    <w:p w:rsidR="00421467" w:rsidRDefault="00421467" w:rsidP="00421467">
      <w:pPr>
        <w:pStyle w:val="Default"/>
        <w:rPr>
          <w:rFonts w:ascii="Times New Roman" w:hAnsi="Times New Roman" w:cs="Times New Roman"/>
          <w:bCs/>
          <w:color w:val="auto"/>
        </w:rPr>
      </w:pPr>
    </w:p>
    <w:p w:rsidR="00421467" w:rsidRPr="00091020" w:rsidRDefault="00421467" w:rsidP="00C44D49">
      <w:pPr>
        <w:pStyle w:val="NoSpacing"/>
      </w:pPr>
      <w:r>
        <w:tab/>
        <w:t xml:space="preserve">For </w:t>
      </w:r>
      <w:r w:rsidRPr="00946563">
        <w:t>Statement 6</w:t>
      </w:r>
      <w:r>
        <w:t xml:space="preserve"> the</w:t>
      </w:r>
      <w:r w:rsidRPr="00946563">
        <w:t xml:space="preserve"> Safe Harbor</w:t>
      </w:r>
      <w:r>
        <w:t xml:space="preserve"> should meet the following criteria</w:t>
      </w:r>
      <w:r w:rsidRPr="00946563">
        <w:t>:</w:t>
      </w:r>
      <w:r>
        <w:t xml:space="preserve"> </w:t>
      </w:r>
    </w:p>
    <w:p w:rsidR="00421467" w:rsidRPr="00946563" w:rsidRDefault="00421467" w:rsidP="00C44D49">
      <w:pPr>
        <w:pStyle w:val="NoSpacing"/>
      </w:pPr>
      <w:r w:rsidRPr="00946563">
        <w:t xml:space="preserve">(1) managed by a third-party </w:t>
      </w:r>
    </w:p>
    <w:p w:rsidR="00421467" w:rsidRPr="00946563" w:rsidRDefault="00421467" w:rsidP="00C44D49">
      <w:pPr>
        <w:pStyle w:val="NoSpacing"/>
      </w:pPr>
      <w:r w:rsidRPr="00946563">
        <w:t xml:space="preserve">(2) based on data more than 3 months old; and </w:t>
      </w:r>
    </w:p>
    <w:p w:rsidR="00421467" w:rsidRDefault="00421467" w:rsidP="00C44D49">
      <w:pPr>
        <w:pStyle w:val="NoSpacing"/>
      </w:pPr>
      <w:r w:rsidRPr="00946563">
        <w:t>(3) at least five providers reporting data, no individual provider’s data represents more than 25 percent on a weighted basis of that sta</w:t>
      </w:r>
      <w:r w:rsidRPr="00946563">
        <w:softHyphen/>
        <w:t xml:space="preserve">tistic, and any information disseminated is sufficiently aggregated such that it would not allow recipients to identify the prices charged or compensation paid by any particular provider. </w:t>
      </w:r>
    </w:p>
    <w:p w:rsidR="00D63A35" w:rsidRDefault="00D63A35" w:rsidP="00C44D49">
      <w:pPr>
        <w:pStyle w:val="Default"/>
        <w:rPr>
          <w:rFonts w:ascii="Times New Roman" w:hAnsi="Times New Roman" w:cs="Times New Roman"/>
        </w:rPr>
      </w:pPr>
    </w:p>
    <w:p w:rsidR="00C44D49" w:rsidRDefault="00421467" w:rsidP="00C44D49">
      <w:pPr>
        <w:pStyle w:val="Default"/>
        <w:rPr>
          <w:rFonts w:ascii="Times New Roman" w:hAnsi="Times New Roman" w:cs="Times New Roman"/>
        </w:rPr>
      </w:pPr>
      <w:r>
        <w:rPr>
          <w:rFonts w:ascii="Times New Roman" w:hAnsi="Times New Roman" w:cs="Times New Roman"/>
        </w:rPr>
        <w:tab/>
      </w:r>
      <w:r w:rsidR="00C44D49">
        <w:rPr>
          <w:rFonts w:ascii="Times New Roman" w:hAnsi="Times New Roman" w:cs="Times New Roman"/>
        </w:rPr>
        <w:t xml:space="preserve">These policy statements are just that – policy –not requirements.  As discussed above the Maine legislature has made its own policy statement on price transparency and the MHDO by the requirements in sections 8703 and 8712. </w:t>
      </w:r>
      <w:r w:rsidR="00D63A35">
        <w:rPr>
          <w:rFonts w:ascii="Times New Roman" w:hAnsi="Times New Roman" w:cs="Times New Roman"/>
        </w:rPr>
        <w:t xml:space="preserve">The federal policy does </w:t>
      </w:r>
      <w:r w:rsidR="009B02CA">
        <w:rPr>
          <w:rFonts w:ascii="Times New Roman" w:hAnsi="Times New Roman" w:cs="Times New Roman"/>
        </w:rPr>
        <w:t>not</w:t>
      </w:r>
      <w:r w:rsidR="00D63A35">
        <w:rPr>
          <w:rFonts w:ascii="Times New Roman" w:hAnsi="Times New Roman" w:cs="Times New Roman"/>
        </w:rPr>
        <w:t xml:space="preserve"> forbid or limit MHDO’s data releases.</w:t>
      </w:r>
    </w:p>
    <w:p w:rsidR="00D63A35" w:rsidRDefault="00D63A35" w:rsidP="00C44D49">
      <w:pPr>
        <w:pStyle w:val="Default"/>
        <w:rPr>
          <w:rFonts w:ascii="Times New Roman" w:hAnsi="Times New Roman" w:cs="Times New Roman"/>
        </w:rPr>
      </w:pPr>
    </w:p>
    <w:p w:rsidR="00421467" w:rsidRDefault="009B02CA" w:rsidP="009B02CA">
      <w:pPr>
        <w:pStyle w:val="Default"/>
        <w:numPr>
          <w:ilvl w:val="0"/>
          <w:numId w:val="4"/>
        </w:numPr>
      </w:pPr>
      <w:r>
        <w:t xml:space="preserve"> </w:t>
      </w:r>
      <w:r w:rsidR="00421467" w:rsidRPr="00946563">
        <w:t>MHDO AND STATE IMMUNITY DOCTRINE</w:t>
      </w:r>
    </w:p>
    <w:p w:rsidR="00421467" w:rsidRDefault="00421467" w:rsidP="00421467"/>
    <w:p w:rsidR="00421467" w:rsidRDefault="00421467" w:rsidP="00421467">
      <w:r>
        <w:tab/>
        <w:t>As a general matter, state activities are not subject to state or federal anti-trust review</w:t>
      </w:r>
      <w:r w:rsidR="009B02CA">
        <w:t>, anyway</w:t>
      </w:r>
      <w:r>
        <w:t xml:space="preserve">. The states can and do make laws that have some anti-competitive effects to achieve what a state may believe is a greater good.  Under the US Supreme Court decision in </w:t>
      </w:r>
      <w:r w:rsidRPr="0086474A">
        <w:rPr>
          <w:i/>
        </w:rPr>
        <w:t>Parker v. Brown</w:t>
      </w:r>
      <w:r>
        <w:t>, 317 US 341 (1943), state and municipal authorities are exempt from federal antitrust lawsuits.  This immunity covers action taken pursuant to a clearly expressed state policy.  When a state approves and regulates certain conduct, even if it is anticompetitive, or potentially anticompetitive under FTC or DOJ standards, the federal government must respect the decision of the state.</w:t>
      </w:r>
      <w:r w:rsidRPr="00D10A0B">
        <w:rPr>
          <w:rStyle w:val="FootnoteReference"/>
        </w:rPr>
        <w:t xml:space="preserve"> </w:t>
      </w:r>
      <w:r>
        <w:rPr>
          <w:rStyle w:val="FootnoteReference"/>
        </w:rPr>
        <w:footnoteReference w:id="2"/>
      </w:r>
      <w:r>
        <w:t xml:space="preserve">  </w:t>
      </w:r>
    </w:p>
    <w:p w:rsidR="00421467" w:rsidRDefault="00421467" w:rsidP="00421467">
      <w:r>
        <w:tab/>
        <w:t xml:space="preserve">MHDO as an independent state agency is protected under this doctrine.  This doctrine can also apply to provide immunity to non-state actors, such </w:t>
      </w:r>
      <w:r w:rsidR="009B02CA">
        <w:t>as MHDO Board members if</w:t>
      </w:r>
      <w:r>
        <w:t xml:space="preserve"> a two-pronged test is met: (1) the challenged conduct/restraint is clearly articulated and affirmatively expressed as state policy; and 2) there must be active supervision by the state of the policy or activity.</w:t>
      </w:r>
      <w:r>
        <w:rPr>
          <w:rStyle w:val="FootnoteReference"/>
        </w:rPr>
        <w:footnoteReference w:id="3"/>
      </w:r>
      <w:r>
        <w:t xml:space="preserve">  </w:t>
      </w:r>
      <w:r w:rsidRPr="00AA104F">
        <w:rPr>
          <w:i/>
        </w:rPr>
        <w:t>North Carolina State Bd. of Dental Examiners v. FTC,</w:t>
      </w:r>
      <w:r>
        <w:t xml:space="preserve"> 574 US ___(2015).  </w:t>
      </w:r>
    </w:p>
    <w:p w:rsidR="00421467" w:rsidRDefault="00421467" w:rsidP="00421467">
      <w:r>
        <w:tab/>
        <w:t>In Maine, price transparency is a stated purpose of the MHDO.  22 MRS §8712. The MHDO advances clearly articulated policies to collect data on prices and make that available on its public website</w:t>
      </w:r>
      <w:r w:rsidR="009B02CA">
        <w:t>,</w:t>
      </w:r>
      <w:r>
        <w:t xml:space="preserve"> and to anyone who requests it and meets all of the many conditions of Chapter 120. </w:t>
      </w:r>
    </w:p>
    <w:p w:rsidR="00421467" w:rsidRPr="00946563" w:rsidRDefault="00421467" w:rsidP="00421467">
      <w:r>
        <w:tab/>
        <w:t xml:space="preserve">The MHDO Board supervises the activity of the MHDO, but unlike “self-regulating” professional Boards, this Board is evenly split between providers (sellers) and payers (buyers). </w:t>
      </w:r>
      <w:r w:rsidR="009B02CA">
        <w:rPr>
          <w:color w:val="231F20"/>
        </w:rPr>
        <w:t xml:space="preserve">The MHDO Board consists of </w:t>
      </w:r>
      <w:r>
        <w:rPr>
          <w:color w:val="231F20"/>
        </w:rPr>
        <w:t xml:space="preserve">9 provider seats and 9 payer seats (4 </w:t>
      </w:r>
      <w:r>
        <w:rPr>
          <w:color w:val="231F20"/>
        </w:rPr>
        <w:lastRenderedPageBreak/>
        <w:t xml:space="preserve">consumers, 3 employers, 2 third-party payers). In addition there is 1 designee of DHHS, and 1 designee of Dirigo Health.  Finally, there is a designee of DPFR, who does not vote and serves in a consultative capacity.  </w:t>
      </w:r>
      <w:r>
        <w:t>The MHDO is advised by the Attorney General, a separate state agency. 22 MRS §8703(5).  Its Data Release Rules, Chapter 120, are major-substantive, meaning there is the opportunity for legislative review before they became effective.</w:t>
      </w:r>
      <w:r w:rsidR="009B02CA">
        <w:t xml:space="preserve"> So there is active supervision by the state.</w:t>
      </w:r>
    </w:p>
    <w:p w:rsidR="009F5708" w:rsidRDefault="009F5708" w:rsidP="009F5708">
      <w:pPr>
        <w:ind w:firstLine="720"/>
      </w:pPr>
      <w:r>
        <w:t xml:space="preserve">MHDO </w:t>
      </w:r>
      <w:r w:rsidRPr="00F00F45">
        <w:t xml:space="preserve">board members are </w:t>
      </w:r>
      <w:r>
        <w:t xml:space="preserve">also </w:t>
      </w:r>
      <w:r w:rsidRPr="00F00F45">
        <w:t>entitled to tort immunity under the Maine Tort Claims Act</w:t>
      </w:r>
      <w:r>
        <w:t xml:space="preserve"> (“MTCA”)</w:t>
      </w:r>
      <w:r w:rsidRPr="00F00F45">
        <w:t>, 14 M.R.S. Ch. 741.  The MTCA includes board members within the definition of state employees covered by the Act.  Section 8102(1) defines “employee” to include any person acting on behalf of a governmental entity in any official capacity, whether compensated or not.  The term “governmental entity” includes the State. 14 MRS §8102(2).  The term “State” includes boards and commissions. 14 M</w:t>
      </w:r>
      <w:r>
        <w:t>.</w:t>
      </w:r>
      <w:r w:rsidRPr="00F00F45">
        <w:t>R</w:t>
      </w:r>
      <w:r>
        <w:t>.</w:t>
      </w:r>
      <w:r w:rsidRPr="00F00F45">
        <w:t>S</w:t>
      </w:r>
      <w:r>
        <w:t>.</w:t>
      </w:r>
      <w:r w:rsidRPr="00F00F45">
        <w:t xml:space="preserve"> §8102(4).  Thus</w:t>
      </w:r>
      <w:r w:rsidR="00936092">
        <w:t>, MHDO Board</w:t>
      </w:r>
      <w:r w:rsidRPr="00F00F45">
        <w:t xml:space="preserve"> members are entitled to </w:t>
      </w:r>
      <w:r>
        <w:t xml:space="preserve">all of the immunities under the MTCA, and generally the State </w:t>
      </w:r>
      <w:r w:rsidRPr="00F00F45">
        <w:t>would provide a legal defense for any</w:t>
      </w:r>
      <w:r>
        <w:t xml:space="preserve"> tort</w:t>
      </w:r>
      <w:r w:rsidRPr="00F00F45">
        <w:t xml:space="preserve"> claims arising against board members. </w:t>
      </w:r>
      <w:r>
        <w:t xml:space="preserve"> </w:t>
      </w:r>
      <w:r w:rsidRPr="00F00F45">
        <w:t>14 M</w:t>
      </w:r>
      <w:r>
        <w:t>.</w:t>
      </w:r>
      <w:r w:rsidRPr="00F00F45">
        <w:t>R</w:t>
      </w:r>
      <w:r>
        <w:t>.</w:t>
      </w:r>
      <w:r w:rsidRPr="00F00F45">
        <w:t>S</w:t>
      </w:r>
      <w:r>
        <w:t>.</w:t>
      </w:r>
      <w:r w:rsidRPr="00F00F45">
        <w:t xml:space="preserve"> §</w:t>
      </w:r>
      <w:r>
        <w:t>§8111; 811</w:t>
      </w:r>
      <w:r w:rsidRPr="00F00F45">
        <w:t>2</w:t>
      </w:r>
      <w:r>
        <w:t xml:space="preserve">.  These protections apply so long as MVB members are acting within the course and scope of their employment and not acting in bad faith.  </w:t>
      </w:r>
      <w:r w:rsidRPr="00F00F45">
        <w:t>14 M</w:t>
      </w:r>
      <w:r>
        <w:t>.</w:t>
      </w:r>
      <w:r w:rsidRPr="00F00F45">
        <w:t>R</w:t>
      </w:r>
      <w:r>
        <w:t>.</w:t>
      </w:r>
      <w:r w:rsidRPr="00F00F45">
        <w:t>S</w:t>
      </w:r>
      <w:r>
        <w:t>.</w:t>
      </w:r>
      <w:r w:rsidRPr="00F00F45">
        <w:t xml:space="preserve"> §</w:t>
      </w:r>
      <w:r>
        <w:t>811</w:t>
      </w:r>
      <w:r w:rsidRPr="00F00F45">
        <w:t>2</w:t>
      </w:r>
      <w:r>
        <w:t xml:space="preserve">(1)-(3).  </w:t>
      </w:r>
    </w:p>
    <w:p w:rsidR="009B02CA" w:rsidRDefault="009F5708" w:rsidP="00936092">
      <w:pPr>
        <w:ind w:firstLine="720"/>
      </w:pPr>
      <w:r>
        <w:t xml:space="preserve">The MTCA also limits personal liability of any board member for negligent acts or omissions to $10,000, and the state would pay that amount </w:t>
      </w:r>
      <w:r w:rsidR="009B02CA">
        <w:t>so long as Board members</w:t>
      </w:r>
      <w:r>
        <w:t xml:space="preserve"> were acting wit</w:t>
      </w:r>
      <w:r w:rsidR="009B02CA">
        <w:t>hin the scope of their work on the Board</w:t>
      </w:r>
      <w:r>
        <w:t xml:space="preserve">.  </w:t>
      </w:r>
      <w:r w:rsidRPr="00F00F45">
        <w:t>14 M</w:t>
      </w:r>
      <w:r>
        <w:t>.</w:t>
      </w:r>
      <w:r w:rsidRPr="00F00F45">
        <w:t>R</w:t>
      </w:r>
      <w:r>
        <w:t>.</w:t>
      </w:r>
      <w:r w:rsidRPr="00F00F45">
        <w:t>S</w:t>
      </w:r>
      <w:r>
        <w:t>. §8104-D</w:t>
      </w:r>
      <w:r w:rsidRPr="00F00F45">
        <w:t>.</w:t>
      </w:r>
    </w:p>
    <w:p w:rsidR="009B02CA" w:rsidRDefault="00BB7E7B" w:rsidP="00936092">
      <w:pPr>
        <w:ind w:firstLine="720"/>
      </w:pPr>
      <w:r>
        <w:t>Although it may be overdoing it</w:t>
      </w:r>
      <w:r w:rsidR="00142054">
        <w:t>, the MHDO will</w:t>
      </w:r>
      <w:r w:rsidR="009B02CA">
        <w:t xml:space="preserve"> add an </w:t>
      </w:r>
      <w:r w:rsidR="00142054">
        <w:t>indemnification clause to the</w:t>
      </w:r>
      <w:r w:rsidR="009B02CA">
        <w:t xml:space="preserve"> MHDO DUA saying </w:t>
      </w:r>
      <w:r w:rsidR="00142054">
        <w:t>th</w:t>
      </w:r>
      <w:r w:rsidR="009B02CA">
        <w:t xml:space="preserve">at </w:t>
      </w:r>
      <w:r w:rsidR="00142054">
        <w:t>t</w:t>
      </w:r>
      <w:r w:rsidR="009B02CA">
        <w:t>he data recipient</w:t>
      </w:r>
      <w:r w:rsidR="00142054">
        <w:t xml:space="preserve"> will indemnify MHDO for any liability that may result from the recipient’s violation of law.</w:t>
      </w:r>
      <w:r w:rsidR="009F5708" w:rsidRPr="00F00F45">
        <w:t xml:space="preserve">  </w:t>
      </w:r>
      <w:r w:rsidR="00142054">
        <w:t>MHDO has also agreed to include a Provision that reminds the data recipient that misuse of the MHDO released data for anti-competitive behavior such as collusion on price is a violation of law.  The MHDO will report any such violation in the use of its data to the appropriate authorities.</w:t>
      </w:r>
    </w:p>
    <w:p w:rsidR="00421467" w:rsidRPr="005A2D76" w:rsidRDefault="009F5708" w:rsidP="00936092">
      <w:pPr>
        <w:ind w:firstLine="720"/>
      </w:pPr>
      <w:r>
        <w:t xml:space="preserve"> </w:t>
      </w:r>
    </w:p>
    <w:p w:rsidR="00E932B7" w:rsidRDefault="00F138E6" w:rsidP="008C72F3">
      <w:pPr>
        <w:pStyle w:val="ListParagraph"/>
        <w:numPr>
          <w:ilvl w:val="0"/>
          <w:numId w:val="4"/>
        </w:numPr>
      </w:pPr>
      <w:r>
        <w:t>PROPRIETARY/CONFIDENTIAL INFORMATION</w:t>
      </w:r>
    </w:p>
    <w:p w:rsidR="008C72F3" w:rsidRDefault="008C72F3" w:rsidP="008C72F3">
      <w:pPr>
        <w:pStyle w:val="ListParagraph"/>
        <w:ind w:left="1080"/>
      </w:pPr>
    </w:p>
    <w:p w:rsidR="007B0170" w:rsidRPr="0053611F" w:rsidRDefault="007B0170" w:rsidP="00421467">
      <w:r>
        <w:tab/>
      </w:r>
      <w:r w:rsidR="0053611F" w:rsidRPr="0053611F">
        <w:t>Another</w:t>
      </w:r>
      <w:r w:rsidR="00F138E6">
        <w:t xml:space="preserve"> claim sometimes made by payers</w:t>
      </w:r>
      <w:r w:rsidRPr="0053611F">
        <w:t xml:space="preserve"> is that certain data elements are trade </w:t>
      </w:r>
      <w:r w:rsidR="0053611F" w:rsidRPr="0053611F">
        <w:t>secret</w:t>
      </w:r>
      <w:r w:rsidR="00E932B7">
        <w:t>s</w:t>
      </w:r>
      <w:r w:rsidR="0053611F" w:rsidRPr="0053611F">
        <w:t xml:space="preserve">.  </w:t>
      </w:r>
      <w:r w:rsidRPr="0053611F">
        <w:t xml:space="preserve">Maine law </w:t>
      </w:r>
      <w:r w:rsidR="0053611F" w:rsidRPr="0053611F">
        <w:t>s</w:t>
      </w:r>
      <w:r w:rsidRPr="0053611F">
        <w:t>a</w:t>
      </w:r>
      <w:r w:rsidR="0053611F" w:rsidRPr="0053611F">
        <w:t>y</w:t>
      </w:r>
      <w:r w:rsidRPr="0053611F">
        <w:t>s</w:t>
      </w:r>
      <w:r w:rsidR="0053611F" w:rsidRPr="0053611F">
        <w:t>:</w:t>
      </w:r>
      <w:r w:rsidRPr="0053611F">
        <w:t xml:space="preserve"> </w:t>
      </w:r>
    </w:p>
    <w:p w:rsidR="0053611F" w:rsidRPr="0053611F" w:rsidRDefault="0053611F" w:rsidP="0053611F">
      <w:pPr>
        <w:ind w:firstLine="480"/>
        <w:jc w:val="both"/>
        <w:rPr>
          <w:color w:val="333333"/>
        </w:rPr>
      </w:pPr>
      <w:r w:rsidRPr="0053611F">
        <w:rPr>
          <w:color w:val="333333"/>
        </w:rPr>
        <w:t xml:space="preserve"> "Trade secret" means information, including, but not limited to, a formula, pattern, compilation, program, device, method, technique or process, that: </w:t>
      </w:r>
    </w:p>
    <w:p w:rsidR="0053611F" w:rsidRPr="0053611F" w:rsidRDefault="0053611F" w:rsidP="0053611F">
      <w:pPr>
        <w:ind w:firstLine="480"/>
        <w:jc w:val="both"/>
        <w:rPr>
          <w:rStyle w:val="bhistory1"/>
          <w:rFonts w:ascii="Times New Roman" w:hAnsi="Times New Roman" w:cs="Times New Roman"/>
          <w:color w:val="333333"/>
          <w:sz w:val="24"/>
          <w:szCs w:val="24"/>
        </w:rPr>
      </w:pPr>
      <w:r w:rsidRPr="0053611F">
        <w:rPr>
          <w:rStyle w:val="letparaid1"/>
          <w:color w:val="333333"/>
        </w:rPr>
        <w:t>A.</w:t>
      </w:r>
      <w:r w:rsidR="00A32CA7">
        <w:rPr>
          <w:color w:val="333333"/>
        </w:rPr>
        <w:t xml:space="preserve"> </w:t>
      </w:r>
      <w:r w:rsidRPr="0053611F">
        <w:rPr>
          <w:color w:val="333333"/>
        </w:rPr>
        <w:t>Derives independent economic value, actual or potential, from not being generally known to and not being readily ascertainable by proper means by other persons who can obtain economic value from its disclosure or use; and</w:t>
      </w:r>
      <w:r w:rsidRPr="0053611F">
        <w:rPr>
          <w:rStyle w:val="bhistory1"/>
          <w:rFonts w:ascii="Times New Roman" w:hAnsi="Times New Roman" w:cs="Times New Roman"/>
          <w:color w:val="333333"/>
          <w:sz w:val="24"/>
          <w:szCs w:val="24"/>
        </w:rPr>
        <w:t xml:space="preserve"> </w:t>
      </w:r>
    </w:p>
    <w:p w:rsidR="007B0170" w:rsidRPr="00F138E6" w:rsidRDefault="0053611F" w:rsidP="00F138E6">
      <w:pPr>
        <w:ind w:firstLine="480"/>
        <w:jc w:val="both"/>
        <w:rPr>
          <w:color w:val="333333"/>
        </w:rPr>
      </w:pPr>
      <w:r w:rsidRPr="0053611F">
        <w:rPr>
          <w:rStyle w:val="letparaid1"/>
          <w:color w:val="333333"/>
        </w:rPr>
        <w:t>B.</w:t>
      </w:r>
      <w:r w:rsidRPr="0053611F">
        <w:rPr>
          <w:color w:val="333333"/>
        </w:rPr>
        <w:t xml:space="preserve"> Is the subject of efforts that are reasonable under the circumstances to maintain its secrecy.</w:t>
      </w:r>
      <w:r w:rsidRPr="0053611F">
        <w:rPr>
          <w:rStyle w:val="bhistory1"/>
          <w:rFonts w:ascii="Times New Roman" w:hAnsi="Times New Roman" w:cs="Times New Roman"/>
          <w:color w:val="333333"/>
          <w:sz w:val="24"/>
          <w:szCs w:val="24"/>
        </w:rPr>
        <w:t>” 10 MRS §1542(4).</w:t>
      </w:r>
      <w:r w:rsidR="006179C3">
        <w:rPr>
          <w:rStyle w:val="bhistory1"/>
          <w:rFonts w:ascii="Times New Roman" w:hAnsi="Times New Roman" w:cs="Times New Roman"/>
          <w:color w:val="333333"/>
          <w:sz w:val="24"/>
          <w:szCs w:val="24"/>
        </w:rPr>
        <w:t xml:space="preserve">  An entity asserting the argument would have to meet this standard in court to get an injunction preventing such a release.</w:t>
      </w:r>
      <w:r w:rsidR="00C94CF4">
        <w:rPr>
          <w:rStyle w:val="bhistory1"/>
          <w:rFonts w:ascii="Times New Roman" w:hAnsi="Times New Roman" w:cs="Times New Roman"/>
          <w:color w:val="333333"/>
          <w:sz w:val="24"/>
          <w:szCs w:val="24"/>
        </w:rPr>
        <w:t xml:space="preserve"> Data submitters are given time to pursue such a course, before MHDO releases data that has been objected too.</w:t>
      </w:r>
    </w:p>
    <w:p w:rsidR="00DB33D0" w:rsidRPr="006316FD" w:rsidRDefault="00D9521D" w:rsidP="006316FD">
      <w:pPr>
        <w:pStyle w:val="DefaultText"/>
        <w:widowControl/>
        <w:tabs>
          <w:tab w:val="left" w:pos="0"/>
          <w:tab w:val="left" w:pos="720"/>
          <w:tab w:val="left" w:pos="1440"/>
          <w:tab w:val="left" w:pos="2880"/>
          <w:tab w:val="left" w:pos="3600"/>
        </w:tabs>
        <w:jc w:val="both"/>
        <w:rPr>
          <w:szCs w:val="24"/>
        </w:rPr>
      </w:pPr>
      <w:r>
        <w:rPr>
          <w:szCs w:val="24"/>
        </w:rPr>
        <w:tab/>
      </w:r>
      <w:r w:rsidR="00C94CF4">
        <w:rPr>
          <w:szCs w:val="24"/>
        </w:rPr>
        <w:t xml:space="preserve">A related </w:t>
      </w:r>
      <w:r w:rsidR="00D63D30">
        <w:rPr>
          <w:szCs w:val="24"/>
        </w:rPr>
        <w:t>argument</w:t>
      </w:r>
      <w:r w:rsidR="00C94CF4">
        <w:rPr>
          <w:szCs w:val="24"/>
        </w:rPr>
        <w:t xml:space="preserve"> is that the data is</w:t>
      </w:r>
      <w:r w:rsidR="00F138E6">
        <w:rPr>
          <w:szCs w:val="24"/>
        </w:rPr>
        <w:t xml:space="preserve"> confidential or</w:t>
      </w:r>
      <w:r w:rsidR="00C94CF4">
        <w:rPr>
          <w:szCs w:val="24"/>
        </w:rPr>
        <w:t xml:space="preserve"> “proprietary data”</w:t>
      </w:r>
      <w:r w:rsidR="00D63D30">
        <w:rPr>
          <w:szCs w:val="24"/>
        </w:rPr>
        <w:t xml:space="preserve"> as define</w:t>
      </w:r>
      <w:r w:rsidR="00C94CF4">
        <w:rPr>
          <w:szCs w:val="24"/>
        </w:rPr>
        <w:t>d</w:t>
      </w:r>
      <w:r w:rsidR="00D63D30">
        <w:rPr>
          <w:szCs w:val="24"/>
        </w:rPr>
        <w:t xml:space="preserve"> </w:t>
      </w:r>
      <w:r w:rsidR="00C94CF4">
        <w:rPr>
          <w:szCs w:val="24"/>
        </w:rPr>
        <w:t xml:space="preserve">in new </w:t>
      </w:r>
      <w:r w:rsidR="00D63D30">
        <w:rPr>
          <w:szCs w:val="24"/>
        </w:rPr>
        <w:t xml:space="preserve">Chapter 120, Section 2(33). </w:t>
      </w:r>
      <w:r w:rsidR="00C94CF4" w:rsidRPr="006316FD">
        <w:rPr>
          <w:color w:val="000000"/>
          <w:szCs w:val="24"/>
        </w:rPr>
        <w:t xml:space="preserve"> </w:t>
      </w:r>
      <w:r w:rsidR="00D63D30">
        <w:rPr>
          <w:color w:val="000000"/>
          <w:szCs w:val="24"/>
        </w:rPr>
        <w:t xml:space="preserve">Proprietary data is data submitted to the MHDO by a data provider that has not been made available to the public and if made available to the public </w:t>
      </w:r>
      <w:r w:rsidR="00DB33D0" w:rsidRPr="006316FD">
        <w:rPr>
          <w:color w:val="000000"/>
          <w:szCs w:val="24"/>
        </w:rPr>
        <w:t>will directly result in the data provider being placed in a competitive economic disadvantage.</w:t>
      </w:r>
      <w:r w:rsidR="006316FD">
        <w:rPr>
          <w:szCs w:val="24"/>
        </w:rPr>
        <w:t xml:space="preserve"> </w:t>
      </w:r>
      <w:r w:rsidR="00C94CF4">
        <w:rPr>
          <w:szCs w:val="24"/>
        </w:rPr>
        <w:t xml:space="preserve">This is derived from soon-to-be-replaced </w:t>
      </w:r>
      <w:r w:rsidR="00C94CF4" w:rsidRPr="006316FD">
        <w:rPr>
          <w:szCs w:val="24"/>
        </w:rPr>
        <w:t>Chapter 120, Section 2(C)</w:t>
      </w:r>
      <w:r w:rsidR="00C94CF4">
        <w:rPr>
          <w:szCs w:val="24"/>
        </w:rPr>
        <w:t>(3</w:t>
      </w:r>
      <w:r w:rsidR="00D63D30">
        <w:rPr>
          <w:szCs w:val="24"/>
        </w:rPr>
        <w:t>)-</w:t>
      </w:r>
      <w:r w:rsidR="00D63D30" w:rsidRPr="00D63D30">
        <w:rPr>
          <w:color w:val="000000"/>
          <w:szCs w:val="24"/>
        </w:rPr>
        <w:t xml:space="preserve"> </w:t>
      </w:r>
      <w:r w:rsidR="00D63D30" w:rsidRPr="006316FD">
        <w:rPr>
          <w:color w:val="000000"/>
          <w:szCs w:val="24"/>
        </w:rPr>
        <w:lastRenderedPageBreak/>
        <w:t>Confidential Clinical Data</w:t>
      </w:r>
      <w:r w:rsidR="00C94CF4">
        <w:rPr>
          <w:szCs w:val="24"/>
        </w:rPr>
        <w:t xml:space="preserve">. </w:t>
      </w:r>
      <w:r w:rsidR="006316FD" w:rsidRPr="006316FD">
        <w:rPr>
          <w:color w:val="000000"/>
          <w:szCs w:val="24"/>
        </w:rPr>
        <w:t>When a data submitter makes such</w:t>
      </w:r>
      <w:r w:rsidR="006316FD">
        <w:rPr>
          <w:color w:val="000000"/>
          <w:szCs w:val="24"/>
        </w:rPr>
        <w:t xml:space="preserve"> a claim to the MHDO, they have the </w:t>
      </w:r>
      <w:r w:rsidR="006316FD" w:rsidRPr="006316FD">
        <w:rPr>
          <w:color w:val="000000"/>
          <w:szCs w:val="24"/>
        </w:rPr>
        <w:t>burden to show the data is privileged</w:t>
      </w:r>
      <w:r w:rsidR="006316FD">
        <w:rPr>
          <w:color w:val="000000"/>
          <w:szCs w:val="24"/>
        </w:rPr>
        <w:t xml:space="preserve"> </w:t>
      </w:r>
      <w:r w:rsidR="006316FD" w:rsidRPr="006316FD">
        <w:rPr>
          <w:color w:val="000000"/>
          <w:szCs w:val="24"/>
        </w:rPr>
        <w:t xml:space="preserve">or confidential.  If they do not, MHDO can </w:t>
      </w:r>
      <w:r w:rsidR="00D63D30">
        <w:rPr>
          <w:color w:val="000000"/>
          <w:szCs w:val="24"/>
        </w:rPr>
        <w:t xml:space="preserve">decide to </w:t>
      </w:r>
      <w:r w:rsidR="006316FD" w:rsidRPr="006316FD">
        <w:rPr>
          <w:color w:val="000000"/>
          <w:szCs w:val="24"/>
        </w:rPr>
        <w:t>releas</w:t>
      </w:r>
      <w:r w:rsidR="006316FD">
        <w:rPr>
          <w:color w:val="000000"/>
          <w:szCs w:val="24"/>
        </w:rPr>
        <w:t>e the data.  Chapter 120, Section</w:t>
      </w:r>
      <w:r w:rsidR="00C94CF4">
        <w:rPr>
          <w:color w:val="000000"/>
          <w:szCs w:val="24"/>
        </w:rPr>
        <w:t xml:space="preserve"> 7(D).  </w:t>
      </w:r>
      <w:r w:rsidR="006316FD" w:rsidRPr="006316FD">
        <w:rPr>
          <w:color w:val="000000"/>
          <w:szCs w:val="24"/>
        </w:rPr>
        <w:t xml:space="preserve">After such a decision by the MHDO, the data submitter has several days to get a court injunction to prevent the release of such data.  </w:t>
      </w:r>
      <w:r w:rsidR="00F138E6">
        <w:rPr>
          <w:color w:val="000000"/>
          <w:szCs w:val="24"/>
        </w:rPr>
        <w:t>This</w:t>
      </w:r>
      <w:r w:rsidR="00D63D30">
        <w:rPr>
          <w:color w:val="000000"/>
          <w:szCs w:val="24"/>
        </w:rPr>
        <w:t xml:space="preserve"> argu</w:t>
      </w:r>
      <w:r w:rsidR="00F138E6">
        <w:rPr>
          <w:color w:val="000000"/>
          <w:szCs w:val="24"/>
        </w:rPr>
        <w:t>ment has</w:t>
      </w:r>
      <w:r w:rsidR="001C1C79">
        <w:rPr>
          <w:color w:val="000000"/>
          <w:szCs w:val="24"/>
        </w:rPr>
        <w:t xml:space="preserve"> been raised a few times but so far</w:t>
      </w:r>
      <w:r w:rsidR="00D63D30">
        <w:rPr>
          <w:color w:val="000000"/>
          <w:szCs w:val="24"/>
        </w:rPr>
        <w:t xml:space="preserve"> data submitter</w:t>
      </w:r>
      <w:r w:rsidR="001C1C79">
        <w:rPr>
          <w:color w:val="000000"/>
          <w:szCs w:val="24"/>
        </w:rPr>
        <w:t>s have not sufficiently supported their claims of confidentiality</w:t>
      </w:r>
      <w:r w:rsidR="00D63D30">
        <w:rPr>
          <w:color w:val="000000"/>
          <w:szCs w:val="24"/>
        </w:rPr>
        <w:t>.</w:t>
      </w:r>
    </w:p>
    <w:p w:rsidR="00421467" w:rsidRDefault="00421467" w:rsidP="00421467">
      <w:pPr>
        <w:spacing w:after="200" w:line="276" w:lineRule="auto"/>
      </w:pPr>
    </w:p>
    <w:sectPr w:rsidR="00421467" w:rsidSect="00F063C7">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52" w:rsidRDefault="00422E52" w:rsidP="00421467">
      <w:r>
        <w:separator/>
      </w:r>
    </w:p>
  </w:endnote>
  <w:endnote w:type="continuationSeparator" w:id="0">
    <w:p w:rsidR="00422E52" w:rsidRDefault="00422E52" w:rsidP="0042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Pro">
    <w:altName w:val="Traja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52" w:rsidRDefault="00422E52" w:rsidP="00421467">
      <w:r>
        <w:separator/>
      </w:r>
    </w:p>
  </w:footnote>
  <w:footnote w:type="continuationSeparator" w:id="0">
    <w:p w:rsidR="00422E52" w:rsidRDefault="00422E52" w:rsidP="00421467">
      <w:r>
        <w:continuationSeparator/>
      </w:r>
    </w:p>
  </w:footnote>
  <w:footnote w:id="1">
    <w:p w:rsidR="00421467" w:rsidRPr="006A576A" w:rsidRDefault="00421467" w:rsidP="00421467">
      <w:pPr>
        <w:ind w:firstLine="720"/>
        <w:rPr>
          <w:sz w:val="20"/>
          <w:szCs w:val="20"/>
        </w:rPr>
      </w:pPr>
      <w:r>
        <w:rPr>
          <w:rStyle w:val="FootnoteReference"/>
        </w:rPr>
        <w:footnoteRef/>
      </w:r>
      <w:r>
        <w:t xml:space="preserve"> </w:t>
      </w:r>
      <w:r>
        <w:rPr>
          <w:sz w:val="20"/>
          <w:szCs w:val="20"/>
        </w:rPr>
        <w:t>This statute is in accord with other price transparency efforts. Section C of the Dirigo</w:t>
      </w:r>
      <w:r w:rsidRPr="006A576A">
        <w:rPr>
          <w:sz w:val="20"/>
          <w:szCs w:val="20"/>
        </w:rPr>
        <w:t>Health legislation enacted new 22 MRS §1718 requiring hospitals and ambulatory surgery centers to provide to requesting individuals, the average charge for any inpatient service or outpatient procedure provided by the hospital or sur</w:t>
      </w:r>
      <w:r>
        <w:rPr>
          <w:sz w:val="20"/>
          <w:szCs w:val="20"/>
        </w:rPr>
        <w:t xml:space="preserve">gical center.  In addition, </w:t>
      </w:r>
      <w:r w:rsidRPr="006A576A">
        <w:rPr>
          <w:sz w:val="20"/>
          <w:szCs w:val="20"/>
        </w:rPr>
        <w:t>24 MRS §2987 (which has since been updated and moved to 22 MRS §1718-A) makes similar requirements</w:t>
      </w:r>
      <w:r>
        <w:rPr>
          <w:sz w:val="20"/>
          <w:szCs w:val="20"/>
        </w:rPr>
        <w:t xml:space="preserve"> of health care practitioners for</w:t>
      </w:r>
      <w:r w:rsidRPr="006A576A">
        <w:rPr>
          <w:sz w:val="20"/>
          <w:szCs w:val="20"/>
        </w:rPr>
        <w:t xml:space="preserve"> prices the practitioner charges clients directly when there is no insurance coverage, or coverage is denied.</w:t>
      </w:r>
    </w:p>
    <w:p w:rsidR="00421467" w:rsidRDefault="00421467" w:rsidP="00421467">
      <w:pPr>
        <w:pStyle w:val="FootnoteText"/>
      </w:pPr>
    </w:p>
  </w:footnote>
  <w:footnote w:id="2">
    <w:p w:rsidR="00421467" w:rsidRDefault="00421467" w:rsidP="00421467">
      <w:pPr>
        <w:pStyle w:val="FootnoteText"/>
      </w:pPr>
      <w:r>
        <w:rPr>
          <w:rStyle w:val="FootnoteReference"/>
        </w:rPr>
        <w:footnoteRef/>
      </w:r>
      <w:r>
        <w:t xml:space="preserve"> Taken from </w:t>
      </w:r>
      <w:hyperlink r:id="rId1" w:history="1">
        <w:r w:rsidRPr="00C33776">
          <w:rPr>
            <w:rStyle w:val="Hyperlink"/>
          </w:rPr>
          <w:t>https://www.law.cornell.edu/wex/state</w:t>
        </w:r>
        <w:r w:rsidRPr="00C33776">
          <w:rPr>
            <w:rStyle w:val="Hyperlink"/>
          </w:rPr>
          <w:softHyphen/>
          <w:t>_action_antitrust_immunity</w:t>
        </w:r>
      </w:hyperlink>
      <w:r>
        <w:t xml:space="preserve"> and Wikipedia on Parker immunity doctrine.</w:t>
      </w:r>
    </w:p>
  </w:footnote>
  <w:footnote w:id="3">
    <w:p w:rsidR="00421467" w:rsidRPr="00121F90" w:rsidRDefault="00421467" w:rsidP="00421467">
      <w:pPr>
        <w:rPr>
          <w:sz w:val="20"/>
          <w:szCs w:val="20"/>
        </w:rPr>
      </w:pPr>
      <w:r w:rsidRPr="00121F90">
        <w:rPr>
          <w:rStyle w:val="FootnoteReference"/>
          <w:sz w:val="20"/>
          <w:szCs w:val="20"/>
        </w:rPr>
        <w:footnoteRef/>
      </w:r>
      <w:r w:rsidRPr="00121F90">
        <w:rPr>
          <w:sz w:val="20"/>
          <w:szCs w:val="20"/>
        </w:rPr>
        <w:t xml:space="preserve"> For another example Maine has the Hospital and Health Care Providers Cooperation Act (22 MRS Chapter 405-A).</w:t>
      </w:r>
      <w:r w:rsidRPr="00946563">
        <w:t xml:space="preserve">  </w:t>
      </w:r>
      <w:r w:rsidRPr="00121F90">
        <w:rPr>
          <w:sz w:val="20"/>
          <w:szCs w:val="20"/>
        </w:rPr>
        <w:t xml:space="preserve">“The Legislature finds that it is necessary and appropriate to encourage hospitals and other health care providers to cooperate and enter into agreements that will facilitate cost containment, improve quality of care and increase access to health care services. This Act provides processes for state review of overall public benefit, for approval through certificates of public advantage and for continuing supervision. It is the intent of the Legislature that </w:t>
      </w:r>
      <w:r w:rsidR="00C65812" w:rsidRPr="00121F90">
        <w:rPr>
          <w:sz w:val="20"/>
          <w:szCs w:val="20"/>
        </w:rPr>
        <w:t>a certificate of public advantage approved under this chapter provide</w:t>
      </w:r>
      <w:r w:rsidR="00C65812">
        <w:rPr>
          <w:sz w:val="20"/>
          <w:szCs w:val="20"/>
        </w:rPr>
        <w:t>[</w:t>
      </w:r>
      <w:r w:rsidR="00C65812" w:rsidRPr="00121F90">
        <w:rPr>
          <w:sz w:val="20"/>
          <w:szCs w:val="20"/>
        </w:rPr>
        <w:t>s</w:t>
      </w:r>
      <w:r w:rsidR="00C65812">
        <w:rPr>
          <w:sz w:val="20"/>
          <w:szCs w:val="20"/>
        </w:rPr>
        <w:t>]</w:t>
      </w:r>
      <w:r w:rsidRPr="00121F90">
        <w:rPr>
          <w:sz w:val="20"/>
          <w:szCs w:val="20"/>
        </w:rPr>
        <w:t xml:space="preserve"> state action immunity under applicable federal antitrust laws.”  22 MRS §1842. </w:t>
      </w:r>
    </w:p>
    <w:p w:rsidR="00421467" w:rsidRDefault="00421467" w:rsidP="0042146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A3" w:rsidRDefault="001C26AB" w:rsidP="00A14C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9A3" w:rsidRDefault="00422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A3" w:rsidRDefault="001C26AB" w:rsidP="00A14C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728">
      <w:rPr>
        <w:rStyle w:val="PageNumber"/>
        <w:noProof/>
      </w:rPr>
      <w:t>6</w:t>
    </w:r>
    <w:r>
      <w:rPr>
        <w:rStyle w:val="PageNumber"/>
      </w:rPr>
      <w:fldChar w:fldCharType="end"/>
    </w:r>
  </w:p>
  <w:p w:rsidR="001669A3" w:rsidRDefault="00422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044"/>
    <w:multiLevelType w:val="hybridMultilevel"/>
    <w:tmpl w:val="4D3C7D7A"/>
    <w:lvl w:ilvl="0" w:tplc="0E2632E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91867"/>
    <w:multiLevelType w:val="hybridMultilevel"/>
    <w:tmpl w:val="0CCC4E4C"/>
    <w:lvl w:ilvl="0" w:tplc="604CC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6972FC"/>
    <w:multiLevelType w:val="hybridMultilevel"/>
    <w:tmpl w:val="DCBE0D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6D15205C"/>
    <w:multiLevelType w:val="hybridMultilevel"/>
    <w:tmpl w:val="4A980AEA"/>
    <w:lvl w:ilvl="0" w:tplc="556A5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67"/>
    <w:rsid w:val="000416DB"/>
    <w:rsid w:val="00142054"/>
    <w:rsid w:val="001C1C79"/>
    <w:rsid w:val="001C26AB"/>
    <w:rsid w:val="00261800"/>
    <w:rsid w:val="00273995"/>
    <w:rsid w:val="00387F19"/>
    <w:rsid w:val="00394BCD"/>
    <w:rsid w:val="003B0EA4"/>
    <w:rsid w:val="00401700"/>
    <w:rsid w:val="00421467"/>
    <w:rsid w:val="00422E52"/>
    <w:rsid w:val="00426E18"/>
    <w:rsid w:val="004D1728"/>
    <w:rsid w:val="004E5CC7"/>
    <w:rsid w:val="0053611F"/>
    <w:rsid w:val="00553D66"/>
    <w:rsid w:val="006179C3"/>
    <w:rsid w:val="006316FD"/>
    <w:rsid w:val="006A2923"/>
    <w:rsid w:val="007B0170"/>
    <w:rsid w:val="007C1668"/>
    <w:rsid w:val="007F0421"/>
    <w:rsid w:val="008B4EA3"/>
    <w:rsid w:val="008C72F3"/>
    <w:rsid w:val="00936092"/>
    <w:rsid w:val="00941B15"/>
    <w:rsid w:val="0095217F"/>
    <w:rsid w:val="009B02CA"/>
    <w:rsid w:val="009E41CB"/>
    <w:rsid w:val="009F5708"/>
    <w:rsid w:val="00A026B8"/>
    <w:rsid w:val="00A32CA7"/>
    <w:rsid w:val="00B74DB8"/>
    <w:rsid w:val="00BB7E7B"/>
    <w:rsid w:val="00C44D49"/>
    <w:rsid w:val="00C65812"/>
    <w:rsid w:val="00C94CF4"/>
    <w:rsid w:val="00CF2DAE"/>
    <w:rsid w:val="00D6016E"/>
    <w:rsid w:val="00D63A35"/>
    <w:rsid w:val="00D63D30"/>
    <w:rsid w:val="00D9521D"/>
    <w:rsid w:val="00DB33D0"/>
    <w:rsid w:val="00E932B7"/>
    <w:rsid w:val="00F138E6"/>
    <w:rsid w:val="00F3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6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1467"/>
    <w:pPr>
      <w:tabs>
        <w:tab w:val="center" w:pos="4320"/>
        <w:tab w:val="right" w:pos="8640"/>
      </w:tabs>
    </w:pPr>
  </w:style>
  <w:style w:type="character" w:customStyle="1" w:styleId="HeaderChar">
    <w:name w:val="Header Char"/>
    <w:basedOn w:val="DefaultParagraphFont"/>
    <w:link w:val="Header"/>
    <w:rsid w:val="00421467"/>
    <w:rPr>
      <w:rFonts w:eastAsia="Times New Roman" w:cs="Times New Roman"/>
      <w:szCs w:val="24"/>
    </w:rPr>
  </w:style>
  <w:style w:type="character" w:styleId="PageNumber">
    <w:name w:val="page number"/>
    <w:basedOn w:val="DefaultParagraphFont"/>
    <w:rsid w:val="00421467"/>
  </w:style>
  <w:style w:type="paragraph" w:styleId="ListParagraph">
    <w:name w:val="List Paragraph"/>
    <w:basedOn w:val="Normal"/>
    <w:uiPriority w:val="34"/>
    <w:qFormat/>
    <w:rsid w:val="00421467"/>
    <w:pPr>
      <w:ind w:left="720"/>
      <w:contextualSpacing/>
    </w:pPr>
  </w:style>
  <w:style w:type="paragraph" w:customStyle="1" w:styleId="Default">
    <w:name w:val="Default"/>
    <w:rsid w:val="00421467"/>
    <w:pPr>
      <w:autoSpaceDE w:val="0"/>
      <w:autoSpaceDN w:val="0"/>
      <w:adjustRightInd w:val="0"/>
      <w:spacing w:after="0" w:line="240" w:lineRule="auto"/>
    </w:pPr>
    <w:rPr>
      <w:rFonts w:ascii="Trajan Pro" w:hAnsi="Trajan Pro" w:cs="Trajan Pro"/>
      <w:color w:val="000000"/>
      <w:szCs w:val="24"/>
    </w:rPr>
  </w:style>
  <w:style w:type="paragraph" w:customStyle="1" w:styleId="Pa2">
    <w:name w:val="Pa2"/>
    <w:basedOn w:val="Default"/>
    <w:next w:val="Default"/>
    <w:uiPriority w:val="99"/>
    <w:rsid w:val="00421467"/>
    <w:pPr>
      <w:spacing w:line="211" w:lineRule="atLeast"/>
    </w:pPr>
    <w:rPr>
      <w:rFonts w:cstheme="minorBidi"/>
      <w:color w:val="auto"/>
    </w:rPr>
  </w:style>
  <w:style w:type="paragraph" w:styleId="FootnoteText">
    <w:name w:val="footnote text"/>
    <w:basedOn w:val="Normal"/>
    <w:link w:val="FootnoteTextChar"/>
    <w:uiPriority w:val="99"/>
    <w:semiHidden/>
    <w:unhideWhenUsed/>
    <w:rsid w:val="00421467"/>
    <w:rPr>
      <w:sz w:val="20"/>
      <w:szCs w:val="20"/>
    </w:rPr>
  </w:style>
  <w:style w:type="character" w:customStyle="1" w:styleId="FootnoteTextChar">
    <w:name w:val="Footnote Text Char"/>
    <w:basedOn w:val="DefaultParagraphFont"/>
    <w:link w:val="FootnoteText"/>
    <w:uiPriority w:val="99"/>
    <w:semiHidden/>
    <w:rsid w:val="00421467"/>
    <w:rPr>
      <w:rFonts w:eastAsia="Times New Roman" w:cs="Times New Roman"/>
      <w:sz w:val="20"/>
      <w:szCs w:val="20"/>
    </w:rPr>
  </w:style>
  <w:style w:type="character" w:styleId="FootnoteReference">
    <w:name w:val="footnote reference"/>
    <w:basedOn w:val="DefaultParagraphFont"/>
    <w:uiPriority w:val="99"/>
    <w:semiHidden/>
    <w:unhideWhenUsed/>
    <w:rsid w:val="00421467"/>
    <w:rPr>
      <w:vertAlign w:val="superscript"/>
    </w:rPr>
  </w:style>
  <w:style w:type="character" w:styleId="Hyperlink">
    <w:name w:val="Hyperlink"/>
    <w:basedOn w:val="DefaultParagraphFont"/>
    <w:uiPriority w:val="99"/>
    <w:unhideWhenUsed/>
    <w:rsid w:val="00421467"/>
    <w:rPr>
      <w:color w:val="0000FF" w:themeColor="hyperlink"/>
      <w:u w:val="single"/>
    </w:rPr>
  </w:style>
  <w:style w:type="character" w:styleId="Emphasis">
    <w:name w:val="Emphasis"/>
    <w:basedOn w:val="DefaultParagraphFont"/>
    <w:uiPriority w:val="20"/>
    <w:qFormat/>
    <w:rsid w:val="00421467"/>
    <w:rPr>
      <w:i/>
      <w:iCs/>
    </w:rPr>
  </w:style>
  <w:style w:type="paragraph" w:styleId="NoSpacing">
    <w:name w:val="No Spacing"/>
    <w:uiPriority w:val="1"/>
    <w:qFormat/>
    <w:rsid w:val="00C44D49"/>
    <w:pPr>
      <w:spacing w:after="0" w:line="240" w:lineRule="auto"/>
    </w:pPr>
    <w:rPr>
      <w:rFonts w:eastAsia="Times New Roman" w:cs="Times New Roman"/>
      <w:szCs w:val="24"/>
    </w:rPr>
  </w:style>
  <w:style w:type="character" w:customStyle="1" w:styleId="headnote1">
    <w:name w:val="headnote1"/>
    <w:basedOn w:val="DefaultParagraphFont"/>
    <w:rsid w:val="0053611F"/>
    <w:rPr>
      <w:b/>
      <w:bCs/>
    </w:rPr>
  </w:style>
  <w:style w:type="character" w:customStyle="1" w:styleId="letparaid1">
    <w:name w:val="letpara_id1"/>
    <w:basedOn w:val="DefaultParagraphFont"/>
    <w:rsid w:val="0053611F"/>
    <w:rPr>
      <w:b w:val="0"/>
      <w:bCs w:val="0"/>
    </w:rPr>
  </w:style>
  <w:style w:type="character" w:customStyle="1" w:styleId="bhistory1">
    <w:name w:val="bhistory1"/>
    <w:basedOn w:val="DefaultParagraphFont"/>
    <w:rsid w:val="0053611F"/>
    <w:rPr>
      <w:rFonts w:ascii="Courier New" w:hAnsi="Courier New" w:cs="Courier New" w:hint="default"/>
      <w:b w:val="0"/>
      <w:bCs w:val="0"/>
      <w:sz w:val="20"/>
      <w:szCs w:val="20"/>
    </w:rPr>
  </w:style>
  <w:style w:type="character" w:customStyle="1" w:styleId="histyear">
    <w:name w:val="hist_year"/>
    <w:basedOn w:val="DefaultParagraphFont"/>
    <w:rsid w:val="0053611F"/>
  </w:style>
  <w:style w:type="character" w:customStyle="1" w:styleId="histchapter">
    <w:name w:val="hist_chapter"/>
    <w:basedOn w:val="DefaultParagraphFont"/>
    <w:rsid w:val="0053611F"/>
  </w:style>
  <w:style w:type="character" w:customStyle="1" w:styleId="histeffect">
    <w:name w:val="hist_effect"/>
    <w:basedOn w:val="DefaultParagraphFont"/>
    <w:rsid w:val="0053611F"/>
  </w:style>
  <w:style w:type="paragraph" w:customStyle="1" w:styleId="DefaultText">
    <w:name w:val="Default Text"/>
    <w:basedOn w:val="Normal"/>
    <w:rsid w:val="00DB33D0"/>
    <w:pPr>
      <w:widowControl w:val="0"/>
    </w:pPr>
    <w:rPr>
      <w:snapToGrid w:val="0"/>
      <w:szCs w:val="20"/>
    </w:rPr>
  </w:style>
  <w:style w:type="paragraph" w:styleId="BalloonText">
    <w:name w:val="Balloon Text"/>
    <w:basedOn w:val="Normal"/>
    <w:link w:val="BalloonTextChar"/>
    <w:uiPriority w:val="99"/>
    <w:semiHidden/>
    <w:unhideWhenUsed/>
    <w:rsid w:val="00A026B8"/>
    <w:rPr>
      <w:rFonts w:ascii="Tahoma" w:hAnsi="Tahoma" w:cs="Tahoma"/>
      <w:sz w:val="16"/>
      <w:szCs w:val="16"/>
    </w:rPr>
  </w:style>
  <w:style w:type="character" w:customStyle="1" w:styleId="BalloonTextChar">
    <w:name w:val="Balloon Text Char"/>
    <w:basedOn w:val="DefaultParagraphFont"/>
    <w:link w:val="BalloonText"/>
    <w:uiPriority w:val="99"/>
    <w:semiHidden/>
    <w:rsid w:val="00A026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6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1467"/>
    <w:pPr>
      <w:tabs>
        <w:tab w:val="center" w:pos="4320"/>
        <w:tab w:val="right" w:pos="8640"/>
      </w:tabs>
    </w:pPr>
  </w:style>
  <w:style w:type="character" w:customStyle="1" w:styleId="HeaderChar">
    <w:name w:val="Header Char"/>
    <w:basedOn w:val="DefaultParagraphFont"/>
    <w:link w:val="Header"/>
    <w:rsid w:val="00421467"/>
    <w:rPr>
      <w:rFonts w:eastAsia="Times New Roman" w:cs="Times New Roman"/>
      <w:szCs w:val="24"/>
    </w:rPr>
  </w:style>
  <w:style w:type="character" w:styleId="PageNumber">
    <w:name w:val="page number"/>
    <w:basedOn w:val="DefaultParagraphFont"/>
    <w:rsid w:val="00421467"/>
  </w:style>
  <w:style w:type="paragraph" w:styleId="ListParagraph">
    <w:name w:val="List Paragraph"/>
    <w:basedOn w:val="Normal"/>
    <w:uiPriority w:val="34"/>
    <w:qFormat/>
    <w:rsid w:val="00421467"/>
    <w:pPr>
      <w:ind w:left="720"/>
      <w:contextualSpacing/>
    </w:pPr>
  </w:style>
  <w:style w:type="paragraph" w:customStyle="1" w:styleId="Default">
    <w:name w:val="Default"/>
    <w:rsid w:val="00421467"/>
    <w:pPr>
      <w:autoSpaceDE w:val="0"/>
      <w:autoSpaceDN w:val="0"/>
      <w:adjustRightInd w:val="0"/>
      <w:spacing w:after="0" w:line="240" w:lineRule="auto"/>
    </w:pPr>
    <w:rPr>
      <w:rFonts w:ascii="Trajan Pro" w:hAnsi="Trajan Pro" w:cs="Trajan Pro"/>
      <w:color w:val="000000"/>
      <w:szCs w:val="24"/>
    </w:rPr>
  </w:style>
  <w:style w:type="paragraph" w:customStyle="1" w:styleId="Pa2">
    <w:name w:val="Pa2"/>
    <w:basedOn w:val="Default"/>
    <w:next w:val="Default"/>
    <w:uiPriority w:val="99"/>
    <w:rsid w:val="00421467"/>
    <w:pPr>
      <w:spacing w:line="211" w:lineRule="atLeast"/>
    </w:pPr>
    <w:rPr>
      <w:rFonts w:cstheme="minorBidi"/>
      <w:color w:val="auto"/>
    </w:rPr>
  </w:style>
  <w:style w:type="paragraph" w:styleId="FootnoteText">
    <w:name w:val="footnote text"/>
    <w:basedOn w:val="Normal"/>
    <w:link w:val="FootnoteTextChar"/>
    <w:uiPriority w:val="99"/>
    <w:semiHidden/>
    <w:unhideWhenUsed/>
    <w:rsid w:val="00421467"/>
    <w:rPr>
      <w:sz w:val="20"/>
      <w:szCs w:val="20"/>
    </w:rPr>
  </w:style>
  <w:style w:type="character" w:customStyle="1" w:styleId="FootnoteTextChar">
    <w:name w:val="Footnote Text Char"/>
    <w:basedOn w:val="DefaultParagraphFont"/>
    <w:link w:val="FootnoteText"/>
    <w:uiPriority w:val="99"/>
    <w:semiHidden/>
    <w:rsid w:val="00421467"/>
    <w:rPr>
      <w:rFonts w:eastAsia="Times New Roman" w:cs="Times New Roman"/>
      <w:sz w:val="20"/>
      <w:szCs w:val="20"/>
    </w:rPr>
  </w:style>
  <w:style w:type="character" w:styleId="FootnoteReference">
    <w:name w:val="footnote reference"/>
    <w:basedOn w:val="DefaultParagraphFont"/>
    <w:uiPriority w:val="99"/>
    <w:semiHidden/>
    <w:unhideWhenUsed/>
    <w:rsid w:val="00421467"/>
    <w:rPr>
      <w:vertAlign w:val="superscript"/>
    </w:rPr>
  </w:style>
  <w:style w:type="character" w:styleId="Hyperlink">
    <w:name w:val="Hyperlink"/>
    <w:basedOn w:val="DefaultParagraphFont"/>
    <w:uiPriority w:val="99"/>
    <w:unhideWhenUsed/>
    <w:rsid w:val="00421467"/>
    <w:rPr>
      <w:color w:val="0000FF" w:themeColor="hyperlink"/>
      <w:u w:val="single"/>
    </w:rPr>
  </w:style>
  <w:style w:type="character" w:styleId="Emphasis">
    <w:name w:val="Emphasis"/>
    <w:basedOn w:val="DefaultParagraphFont"/>
    <w:uiPriority w:val="20"/>
    <w:qFormat/>
    <w:rsid w:val="00421467"/>
    <w:rPr>
      <w:i/>
      <w:iCs/>
    </w:rPr>
  </w:style>
  <w:style w:type="paragraph" w:styleId="NoSpacing">
    <w:name w:val="No Spacing"/>
    <w:uiPriority w:val="1"/>
    <w:qFormat/>
    <w:rsid w:val="00C44D49"/>
    <w:pPr>
      <w:spacing w:after="0" w:line="240" w:lineRule="auto"/>
    </w:pPr>
    <w:rPr>
      <w:rFonts w:eastAsia="Times New Roman" w:cs="Times New Roman"/>
      <w:szCs w:val="24"/>
    </w:rPr>
  </w:style>
  <w:style w:type="character" w:customStyle="1" w:styleId="headnote1">
    <w:name w:val="headnote1"/>
    <w:basedOn w:val="DefaultParagraphFont"/>
    <w:rsid w:val="0053611F"/>
    <w:rPr>
      <w:b/>
      <w:bCs/>
    </w:rPr>
  </w:style>
  <w:style w:type="character" w:customStyle="1" w:styleId="letparaid1">
    <w:name w:val="letpara_id1"/>
    <w:basedOn w:val="DefaultParagraphFont"/>
    <w:rsid w:val="0053611F"/>
    <w:rPr>
      <w:b w:val="0"/>
      <w:bCs w:val="0"/>
    </w:rPr>
  </w:style>
  <w:style w:type="character" w:customStyle="1" w:styleId="bhistory1">
    <w:name w:val="bhistory1"/>
    <w:basedOn w:val="DefaultParagraphFont"/>
    <w:rsid w:val="0053611F"/>
    <w:rPr>
      <w:rFonts w:ascii="Courier New" w:hAnsi="Courier New" w:cs="Courier New" w:hint="default"/>
      <w:b w:val="0"/>
      <w:bCs w:val="0"/>
      <w:sz w:val="20"/>
      <w:szCs w:val="20"/>
    </w:rPr>
  </w:style>
  <w:style w:type="character" w:customStyle="1" w:styleId="histyear">
    <w:name w:val="hist_year"/>
    <w:basedOn w:val="DefaultParagraphFont"/>
    <w:rsid w:val="0053611F"/>
  </w:style>
  <w:style w:type="character" w:customStyle="1" w:styleId="histchapter">
    <w:name w:val="hist_chapter"/>
    <w:basedOn w:val="DefaultParagraphFont"/>
    <w:rsid w:val="0053611F"/>
  </w:style>
  <w:style w:type="character" w:customStyle="1" w:styleId="histeffect">
    <w:name w:val="hist_effect"/>
    <w:basedOn w:val="DefaultParagraphFont"/>
    <w:rsid w:val="0053611F"/>
  </w:style>
  <w:style w:type="paragraph" w:customStyle="1" w:styleId="DefaultText">
    <w:name w:val="Default Text"/>
    <w:basedOn w:val="Normal"/>
    <w:rsid w:val="00DB33D0"/>
    <w:pPr>
      <w:widowControl w:val="0"/>
    </w:pPr>
    <w:rPr>
      <w:snapToGrid w:val="0"/>
      <w:szCs w:val="20"/>
    </w:rPr>
  </w:style>
  <w:style w:type="paragraph" w:styleId="BalloonText">
    <w:name w:val="Balloon Text"/>
    <w:basedOn w:val="Normal"/>
    <w:link w:val="BalloonTextChar"/>
    <w:uiPriority w:val="99"/>
    <w:semiHidden/>
    <w:unhideWhenUsed/>
    <w:rsid w:val="00A026B8"/>
    <w:rPr>
      <w:rFonts w:ascii="Tahoma" w:hAnsi="Tahoma" w:cs="Tahoma"/>
      <w:sz w:val="16"/>
      <w:szCs w:val="16"/>
    </w:rPr>
  </w:style>
  <w:style w:type="character" w:customStyle="1" w:styleId="BalloonTextChar">
    <w:name w:val="Balloon Text Char"/>
    <w:basedOn w:val="DefaultParagraphFont"/>
    <w:link w:val="BalloonText"/>
    <w:uiPriority w:val="99"/>
    <w:semiHidden/>
    <w:rsid w:val="00A026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99011">
      <w:bodyDiv w:val="1"/>
      <w:marLeft w:val="0"/>
      <w:marRight w:val="0"/>
      <w:marTop w:val="0"/>
      <w:marBottom w:val="0"/>
      <w:divBdr>
        <w:top w:val="none" w:sz="0" w:space="0" w:color="auto"/>
        <w:left w:val="none" w:sz="0" w:space="0" w:color="auto"/>
        <w:bottom w:val="none" w:sz="0" w:space="0" w:color="auto"/>
        <w:right w:val="none" w:sz="0" w:space="0" w:color="auto"/>
      </w:divBdr>
      <w:divsChild>
        <w:div w:id="1772314109">
          <w:marLeft w:val="0"/>
          <w:marRight w:val="0"/>
          <w:marTop w:val="0"/>
          <w:marBottom w:val="0"/>
          <w:divBdr>
            <w:top w:val="none" w:sz="0" w:space="0" w:color="auto"/>
            <w:left w:val="none" w:sz="0" w:space="0" w:color="auto"/>
            <w:bottom w:val="none" w:sz="0" w:space="0" w:color="auto"/>
            <w:right w:val="none" w:sz="0" w:space="0" w:color="auto"/>
          </w:divBdr>
          <w:divsChild>
            <w:div w:id="576400617">
              <w:marLeft w:val="-225"/>
              <w:marRight w:val="-225"/>
              <w:marTop w:val="0"/>
              <w:marBottom w:val="0"/>
              <w:divBdr>
                <w:top w:val="none" w:sz="0" w:space="0" w:color="auto"/>
                <w:left w:val="none" w:sz="0" w:space="0" w:color="auto"/>
                <w:bottom w:val="none" w:sz="0" w:space="0" w:color="auto"/>
                <w:right w:val="none" w:sz="0" w:space="0" w:color="auto"/>
              </w:divBdr>
              <w:divsChild>
                <w:div w:id="1581214812">
                  <w:marLeft w:val="0"/>
                  <w:marRight w:val="0"/>
                  <w:marTop w:val="0"/>
                  <w:marBottom w:val="0"/>
                  <w:divBdr>
                    <w:top w:val="none" w:sz="0" w:space="0" w:color="auto"/>
                    <w:left w:val="none" w:sz="0" w:space="0" w:color="auto"/>
                    <w:bottom w:val="none" w:sz="0" w:space="0" w:color="auto"/>
                    <w:right w:val="none" w:sz="0" w:space="0" w:color="auto"/>
                  </w:divBdr>
                  <w:divsChild>
                    <w:div w:id="1129515958">
                      <w:marLeft w:val="-225"/>
                      <w:marRight w:val="-225"/>
                      <w:marTop w:val="0"/>
                      <w:marBottom w:val="0"/>
                      <w:divBdr>
                        <w:top w:val="none" w:sz="0" w:space="0" w:color="auto"/>
                        <w:left w:val="none" w:sz="0" w:space="0" w:color="auto"/>
                        <w:bottom w:val="none" w:sz="0" w:space="0" w:color="auto"/>
                        <w:right w:val="none" w:sz="0" w:space="0" w:color="auto"/>
                      </w:divBdr>
                      <w:divsChild>
                        <w:div w:id="1517039257">
                          <w:marLeft w:val="0"/>
                          <w:marRight w:val="0"/>
                          <w:marTop w:val="0"/>
                          <w:marBottom w:val="0"/>
                          <w:divBdr>
                            <w:top w:val="none" w:sz="0" w:space="0" w:color="auto"/>
                            <w:left w:val="none" w:sz="0" w:space="0" w:color="auto"/>
                            <w:bottom w:val="none" w:sz="0" w:space="0" w:color="auto"/>
                            <w:right w:val="none" w:sz="0" w:space="0" w:color="auto"/>
                          </w:divBdr>
                          <w:divsChild>
                            <w:div w:id="819933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w.cornell.edu/wex/state_action_antitrust_i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D88C-447C-42BC-A6E2-3C7C0C04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White</dc:creator>
  <cp:lastModifiedBy>Wing, Kimberly</cp:lastModifiedBy>
  <cp:revision>2</cp:revision>
  <cp:lastPrinted>2016-06-01T19:03:00Z</cp:lastPrinted>
  <dcterms:created xsi:type="dcterms:W3CDTF">2016-06-06T16:45:00Z</dcterms:created>
  <dcterms:modified xsi:type="dcterms:W3CDTF">2016-06-06T16:45:00Z</dcterms:modified>
</cp:coreProperties>
</file>