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2C07" w14:textId="77777777" w:rsidR="003F45D2" w:rsidRPr="00364CCC" w:rsidRDefault="003F45D2" w:rsidP="00491264">
      <w:pPr>
        <w:pStyle w:val="Title"/>
        <w:jc w:val="left"/>
      </w:pPr>
    </w:p>
    <w:p w14:paraId="36B7DB0A" w14:textId="77777777" w:rsidR="00370545" w:rsidRPr="00491264" w:rsidRDefault="00370545" w:rsidP="004912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sz w:val="32"/>
          <w:szCs w:val="32"/>
        </w:rPr>
      </w:pPr>
      <w:r w:rsidRPr="00491264">
        <w:rPr>
          <w:sz w:val="32"/>
          <w:szCs w:val="32"/>
        </w:rPr>
        <w:t xml:space="preserve">90-590 Maine Health Data Organization </w:t>
      </w:r>
    </w:p>
    <w:p w14:paraId="28811C89" w14:textId="3FD6133B" w:rsidR="00370545" w:rsidRPr="00491264" w:rsidRDefault="00A22FAA" w:rsidP="0049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for </w:t>
      </w:r>
      <w:r w:rsidR="009E48A4">
        <w:rPr>
          <w:b/>
          <w:sz w:val="24"/>
          <w:szCs w:val="24"/>
        </w:rPr>
        <w:t xml:space="preserve">November </w:t>
      </w:r>
      <w:r w:rsidR="001334C3">
        <w:rPr>
          <w:b/>
          <w:sz w:val="24"/>
          <w:szCs w:val="24"/>
        </w:rPr>
        <w:t>21</w:t>
      </w:r>
      <w:r w:rsidR="00370545" w:rsidRPr="00491264">
        <w:rPr>
          <w:b/>
          <w:sz w:val="24"/>
          <w:szCs w:val="24"/>
        </w:rPr>
        <w:t>, 201</w:t>
      </w:r>
      <w:r w:rsidR="00DC2DF8">
        <w:rPr>
          <w:b/>
          <w:sz w:val="24"/>
          <w:szCs w:val="24"/>
        </w:rPr>
        <w:t>9</w:t>
      </w:r>
      <w:r w:rsidR="005912D7">
        <w:rPr>
          <w:b/>
          <w:sz w:val="24"/>
          <w:szCs w:val="24"/>
        </w:rPr>
        <w:t xml:space="preserve"> Public Hearing</w:t>
      </w:r>
    </w:p>
    <w:p w14:paraId="7C3083A4" w14:textId="267A172E" w:rsidR="00473801" w:rsidRPr="00491264" w:rsidRDefault="00370545">
      <w:pPr>
        <w:pStyle w:val="Title"/>
        <w:spacing w:before="240"/>
      </w:pPr>
      <w:r>
        <w:t>Proposed Rule Summary of Changes</w:t>
      </w:r>
      <w:r w:rsidR="00BE08A6">
        <w:t xml:space="preserve"> and Basis Statement</w:t>
      </w:r>
      <w:r w:rsidRPr="00364CCC">
        <w:br/>
        <w:t xml:space="preserve">Chapter </w:t>
      </w:r>
      <w:r w:rsidR="001D5036">
        <w:t>1</w:t>
      </w:r>
      <w:r w:rsidR="001E2525">
        <w:t>0</w:t>
      </w:r>
      <w:r w:rsidRPr="00364CCC">
        <w:t xml:space="preserve">:  </w:t>
      </w:r>
      <w:r w:rsidR="00C075C5">
        <w:t>Determination of Assessments</w:t>
      </w:r>
    </w:p>
    <w:p w14:paraId="6C371C8B" w14:textId="29B4528A" w:rsidR="00473801" w:rsidRPr="00473801" w:rsidRDefault="00473801">
      <w:pPr>
        <w:pStyle w:val="Title"/>
        <w:spacing w:before="240"/>
      </w:pPr>
      <w:r w:rsidRPr="00491264">
        <w:rPr>
          <w:i/>
          <w:sz w:val="20"/>
          <w:szCs w:val="20"/>
        </w:rPr>
        <w:t>(</w:t>
      </w:r>
      <w:r w:rsidR="00645394">
        <w:rPr>
          <w:i/>
          <w:sz w:val="20"/>
          <w:szCs w:val="20"/>
        </w:rPr>
        <w:t>Routine</w:t>
      </w:r>
      <w:r w:rsidR="00F43658">
        <w:rPr>
          <w:i/>
          <w:sz w:val="20"/>
          <w:szCs w:val="20"/>
        </w:rPr>
        <w:t xml:space="preserve"> </w:t>
      </w:r>
      <w:r w:rsidR="00645394">
        <w:rPr>
          <w:i/>
          <w:sz w:val="20"/>
          <w:szCs w:val="20"/>
        </w:rPr>
        <w:t>Technica</w:t>
      </w:r>
      <w:r w:rsidR="00C075C5">
        <w:rPr>
          <w:i/>
          <w:sz w:val="20"/>
          <w:szCs w:val="20"/>
        </w:rPr>
        <w:t>l</w:t>
      </w:r>
      <w:r w:rsidRPr="00491264">
        <w:rPr>
          <w:i/>
          <w:sz w:val="20"/>
          <w:szCs w:val="20"/>
        </w:rPr>
        <w:t>)</w:t>
      </w:r>
    </w:p>
    <w:p w14:paraId="612B0DB4" w14:textId="5F801033" w:rsidR="009E48A4" w:rsidRDefault="009E48A4" w:rsidP="00F43658">
      <w:pPr>
        <w:pStyle w:val="DefaultText"/>
      </w:pPr>
      <w:r w:rsidRPr="009E48A4">
        <w:t>Chapter</w:t>
      </w:r>
      <w:r>
        <w:t xml:space="preserve"> 10</w:t>
      </w:r>
      <w:r w:rsidRPr="009E48A4">
        <w:t xml:space="preserve"> identifies th</w:t>
      </w:r>
      <w:r>
        <w:t>e</w:t>
      </w:r>
      <w:r w:rsidRPr="009E48A4">
        <w:t xml:space="preserve"> health care providers, health insurance entities, carriers that provide only administrative services for a plan sponsor, third-party administrators, prescription drug manufacturers, wholesale drug distributors and pharmacy benefits managers required to pay annual assessments for the operational costs</w:t>
      </w:r>
      <w:r>
        <w:t xml:space="preserve"> </w:t>
      </w:r>
      <w:r w:rsidRPr="009E48A4">
        <w:t>of the Maine Health Data Organization</w:t>
      </w:r>
      <w:r>
        <w:t xml:space="preserve"> (MHDO)</w:t>
      </w:r>
      <w:r w:rsidRPr="009E48A4">
        <w:t>. This Chapter also establishes the process for determining the individual assessments for each entity and the time</w:t>
      </w:r>
      <w:r>
        <w:t xml:space="preserve"> frame</w:t>
      </w:r>
      <w:r w:rsidRPr="009E48A4">
        <w:t xml:space="preserve"> for payment.</w:t>
      </w:r>
    </w:p>
    <w:p w14:paraId="564D8640" w14:textId="77777777" w:rsidR="007A08C3" w:rsidRDefault="000226A1" w:rsidP="00F43658">
      <w:pPr>
        <w:pStyle w:val="DefaultText"/>
      </w:pPr>
      <w:r>
        <w:t>The proposed changes summarized below (exception the non-substantive changes) are a result of the new requirements defined in PL</w:t>
      </w:r>
      <w:r w:rsidR="005912D7">
        <w:t xml:space="preserve"> 2019, c470. “An Act to Further </w:t>
      </w:r>
      <w:r>
        <w:t xml:space="preserve">Expand Drug Price Transparency.”  </w:t>
      </w:r>
    </w:p>
    <w:p w14:paraId="02B314A1" w14:textId="5F18D26D" w:rsidR="000355F3" w:rsidRPr="000355F3" w:rsidRDefault="000355F3" w:rsidP="00F43658">
      <w:pPr>
        <w:pStyle w:val="DefaultText"/>
      </w:pPr>
      <w:r>
        <w:t xml:space="preserve">The MHDO Board met on </w:t>
      </w:r>
      <w:r w:rsidR="00F43658">
        <w:t>May 23</w:t>
      </w:r>
      <w:r>
        <w:t>, 201</w:t>
      </w:r>
      <w:r w:rsidR="00F43658">
        <w:t>9</w:t>
      </w:r>
      <w:r>
        <w:t xml:space="preserve"> and authorized the MHDO to initiate rulemaking to Chapter </w:t>
      </w:r>
      <w:r w:rsidR="00C075C5">
        <w:t>1</w:t>
      </w:r>
      <w:r w:rsidR="001E2525">
        <w:t>0</w:t>
      </w:r>
      <w:r w:rsidR="00127012">
        <w:t xml:space="preserve">, as required under </w:t>
      </w:r>
      <w:r w:rsidR="006B213E">
        <w:t>22 M</w:t>
      </w:r>
      <w:r w:rsidR="00E74A72">
        <w:t>.R.S.</w:t>
      </w:r>
      <w:r w:rsidR="006B213E">
        <w:t xml:space="preserve"> </w:t>
      </w:r>
      <w:r w:rsidR="006B213E" w:rsidRPr="009E48A4">
        <w:t>§8704, sub-§1</w:t>
      </w:r>
      <w:r w:rsidR="00127012" w:rsidRPr="009E48A4">
        <w:t>,</w:t>
      </w:r>
      <w:r w:rsidR="006B213E" w:rsidRPr="009E48A4">
        <w:t xml:space="preserve"> §8705-A</w:t>
      </w:r>
      <w:r w:rsidR="00127012" w:rsidRPr="009E48A4">
        <w:t xml:space="preserve"> and </w:t>
      </w:r>
      <w:r w:rsidR="006B213E" w:rsidRPr="009E48A4">
        <w:t>§87</w:t>
      </w:r>
      <w:r w:rsidR="00E74A72" w:rsidRPr="009E48A4">
        <w:t>06, sub-§2</w:t>
      </w:r>
      <w:r>
        <w:t>.</w:t>
      </w:r>
    </w:p>
    <w:p w14:paraId="2B2B14BE" w14:textId="132F27E6" w:rsidR="00BE62A0" w:rsidRDefault="00D24879" w:rsidP="00BE62A0">
      <w:pPr>
        <w:pStyle w:val="DefaultText"/>
      </w:pPr>
      <w:r>
        <w:t>The changes to Chapter 10 are the following</w:t>
      </w:r>
      <w:r w:rsidR="00BE62A0">
        <w:t xml:space="preserve">: </w:t>
      </w:r>
    </w:p>
    <w:p w14:paraId="22F3AB01" w14:textId="782FDD47" w:rsidR="00BE62A0" w:rsidRPr="001E2B5E" w:rsidRDefault="00BE62A0" w:rsidP="001E2B5E">
      <w:pPr>
        <w:spacing w:before="0"/>
        <w:rPr>
          <w:rFonts w:ascii="Calibri" w:hAnsi="Calibri" w:cs="Arial"/>
          <w:b/>
          <w:color w:val="000000"/>
          <w:sz w:val="24"/>
          <w:szCs w:val="24"/>
        </w:rPr>
      </w:pPr>
    </w:p>
    <w:p w14:paraId="549C04A8" w14:textId="7C02EADC" w:rsidR="00E74A72" w:rsidRPr="00354362" w:rsidRDefault="00354362" w:rsidP="00354362">
      <w:pPr>
        <w:pStyle w:val="ListParagraph"/>
        <w:numPr>
          <w:ilvl w:val="1"/>
          <w:numId w:val="21"/>
        </w:numPr>
        <w:tabs>
          <w:tab w:val="clear" w:pos="900"/>
        </w:tabs>
        <w:spacing w:before="0"/>
        <w:contextualSpacing w:val="0"/>
        <w:rPr>
          <w:rFonts w:ascii="Calibri" w:hAnsi="Calibri" w:cs="Arial"/>
          <w:color w:val="000000"/>
          <w:sz w:val="24"/>
          <w:szCs w:val="24"/>
        </w:rPr>
      </w:pPr>
      <w:r w:rsidRPr="00354362">
        <w:rPr>
          <w:rFonts w:ascii="Calibri" w:hAnsi="Calibri" w:cs="Arial"/>
          <w:color w:val="000000"/>
          <w:sz w:val="24"/>
          <w:szCs w:val="24"/>
        </w:rPr>
        <w:t>Added p</w:t>
      </w:r>
      <w:r w:rsidR="007309C8" w:rsidRPr="00354362">
        <w:rPr>
          <w:rFonts w:ascii="Calibri" w:hAnsi="Calibri" w:cs="Arial"/>
          <w:color w:val="000000"/>
          <w:sz w:val="24"/>
          <w:szCs w:val="24"/>
        </w:rPr>
        <w:t>rescription drug manufacturers, wholesale drug distributors and pharmacy benefits managers to the list of assessable entities</w:t>
      </w:r>
      <w:r w:rsidR="00F15941">
        <w:rPr>
          <w:rFonts w:ascii="Calibri" w:hAnsi="Calibri" w:cs="Arial"/>
          <w:color w:val="000000"/>
          <w:sz w:val="24"/>
          <w:szCs w:val="24"/>
        </w:rPr>
        <w:t xml:space="preserve">, per </w:t>
      </w:r>
      <w:r w:rsidR="00F15941" w:rsidRPr="00DD41FE">
        <w:rPr>
          <w:rFonts w:ascii="Calibri" w:hAnsi="Calibri" w:cs="Arial"/>
          <w:color w:val="000000"/>
          <w:sz w:val="24"/>
          <w:szCs w:val="24"/>
        </w:rPr>
        <w:t>§8704, sub-§4</w:t>
      </w:r>
      <w:r w:rsidR="00DD41FE" w:rsidRPr="00DD41FE">
        <w:rPr>
          <w:rFonts w:ascii="Calibri" w:hAnsi="Calibri" w:cs="Arial"/>
          <w:color w:val="000000"/>
          <w:sz w:val="24"/>
          <w:szCs w:val="24"/>
        </w:rPr>
        <w:t>.</w:t>
      </w:r>
      <w:r w:rsidR="00EC151C" w:rsidRPr="00354362">
        <w:rPr>
          <w:rFonts w:ascii="Calibri" w:hAnsi="Calibri" w:cs="Arial"/>
          <w:color w:val="000000"/>
          <w:sz w:val="24"/>
          <w:szCs w:val="24"/>
        </w:rPr>
        <w:t xml:space="preserve"> (</w:t>
      </w:r>
      <w:r>
        <w:rPr>
          <w:rFonts w:ascii="Calibri" w:hAnsi="Calibri" w:cs="Arial"/>
          <w:color w:val="000000"/>
          <w:sz w:val="24"/>
          <w:szCs w:val="24"/>
        </w:rPr>
        <w:t xml:space="preserve">Summary, </w:t>
      </w:r>
      <w:r w:rsidR="00EC151C" w:rsidRPr="00354362">
        <w:rPr>
          <w:rFonts w:ascii="Calibri" w:hAnsi="Calibri" w:cs="Arial"/>
          <w:color w:val="000000"/>
          <w:sz w:val="24"/>
          <w:szCs w:val="24"/>
        </w:rPr>
        <w:t>page 1)</w:t>
      </w:r>
    </w:p>
    <w:p w14:paraId="40411243" w14:textId="6D39146C" w:rsidR="007309C8" w:rsidRPr="00D96FBB" w:rsidRDefault="00354362" w:rsidP="00D96FBB">
      <w:pPr>
        <w:pStyle w:val="ListParagraph"/>
        <w:numPr>
          <w:ilvl w:val="1"/>
          <w:numId w:val="21"/>
        </w:numPr>
        <w:tabs>
          <w:tab w:val="clear" w:pos="900"/>
        </w:tabs>
        <w:spacing w:before="0"/>
        <w:contextualSpacing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Added d</w:t>
      </w:r>
      <w:r w:rsidR="007309C8" w:rsidRPr="00D96FBB">
        <w:rPr>
          <w:rFonts w:ascii="Calibri" w:hAnsi="Calibri" w:cs="Arial"/>
          <w:color w:val="000000"/>
          <w:sz w:val="24"/>
          <w:szCs w:val="24"/>
        </w:rPr>
        <w:t>efinitions for prescription drug manufacturers and wholesale drug distributors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7309C8" w:rsidRPr="00D96FBB">
        <w:rPr>
          <w:rFonts w:ascii="Calibri" w:hAnsi="Calibri" w:cs="Arial"/>
          <w:color w:val="000000"/>
          <w:sz w:val="24"/>
          <w:szCs w:val="24"/>
        </w:rPr>
        <w:t xml:space="preserve">(pages 2, 3); </w:t>
      </w:r>
      <w:r>
        <w:rPr>
          <w:rFonts w:ascii="Calibri" w:hAnsi="Calibri" w:cs="Arial"/>
          <w:color w:val="000000"/>
          <w:sz w:val="24"/>
          <w:szCs w:val="24"/>
        </w:rPr>
        <w:t xml:space="preserve">added PBM as the </w:t>
      </w:r>
      <w:r w:rsidR="007309C8" w:rsidRPr="00D96FBB">
        <w:rPr>
          <w:rFonts w:ascii="Calibri" w:hAnsi="Calibri" w:cs="Arial"/>
          <w:color w:val="000000"/>
          <w:sz w:val="24"/>
          <w:szCs w:val="24"/>
        </w:rPr>
        <w:t>abbreviation for pharmacy benefits manager</w:t>
      </w:r>
      <w:r w:rsidR="00DD41FE">
        <w:rPr>
          <w:rFonts w:ascii="Calibri" w:hAnsi="Calibri" w:cs="Arial"/>
          <w:color w:val="000000"/>
          <w:sz w:val="24"/>
          <w:szCs w:val="24"/>
        </w:rPr>
        <w:t xml:space="preserve">, per </w:t>
      </w:r>
      <w:r w:rsidR="00DD41FE" w:rsidRPr="00DD41FE">
        <w:rPr>
          <w:rFonts w:ascii="Calibri" w:hAnsi="Calibri" w:cs="Arial"/>
          <w:color w:val="000000"/>
          <w:sz w:val="24"/>
          <w:szCs w:val="24"/>
        </w:rPr>
        <w:t>§8704, sub-§4.</w:t>
      </w:r>
      <w:r w:rsidR="00DD41FE" w:rsidRPr="00354362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7309C8" w:rsidRPr="00D96FBB">
        <w:rPr>
          <w:rFonts w:ascii="Calibri" w:hAnsi="Calibri" w:cs="Arial"/>
          <w:color w:val="000000"/>
          <w:sz w:val="24"/>
          <w:szCs w:val="24"/>
        </w:rPr>
        <w:t xml:space="preserve"> (</w:t>
      </w:r>
      <w:r>
        <w:rPr>
          <w:rFonts w:ascii="Calibri" w:hAnsi="Calibri" w:cs="Arial"/>
          <w:color w:val="000000"/>
          <w:sz w:val="24"/>
          <w:szCs w:val="24"/>
        </w:rPr>
        <w:t xml:space="preserve">Definitions, </w:t>
      </w:r>
      <w:r w:rsidR="007309C8" w:rsidRPr="00D96FBB">
        <w:rPr>
          <w:rFonts w:ascii="Calibri" w:hAnsi="Calibri" w:cs="Arial"/>
          <w:color w:val="000000"/>
          <w:sz w:val="24"/>
          <w:szCs w:val="24"/>
        </w:rPr>
        <w:t>page 2)</w:t>
      </w:r>
    </w:p>
    <w:p w14:paraId="790DF8D1" w14:textId="30C9D808" w:rsidR="00D24879" w:rsidRDefault="00354362" w:rsidP="00354362">
      <w:pPr>
        <w:pStyle w:val="ListParagraph"/>
        <w:numPr>
          <w:ilvl w:val="1"/>
          <w:numId w:val="21"/>
        </w:numPr>
        <w:tabs>
          <w:tab w:val="clear" w:pos="900"/>
        </w:tabs>
        <w:spacing w:before="0"/>
        <w:contextualSpacing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Removed the </w:t>
      </w:r>
      <w:r w:rsidRPr="00354362">
        <w:rPr>
          <w:rFonts w:ascii="Calibri" w:hAnsi="Calibri" w:cs="Arial"/>
          <w:color w:val="000000"/>
          <w:sz w:val="24"/>
          <w:szCs w:val="24"/>
        </w:rPr>
        <w:t xml:space="preserve">Non-Hospital Health Care Facility Category </w:t>
      </w:r>
      <w:r>
        <w:rPr>
          <w:rFonts w:ascii="Calibri" w:hAnsi="Calibri" w:cs="Arial"/>
          <w:color w:val="000000"/>
          <w:sz w:val="24"/>
          <w:szCs w:val="24"/>
        </w:rPr>
        <w:t xml:space="preserve">Assessment for </w:t>
      </w:r>
      <w:r w:rsidR="00D24879" w:rsidRPr="00354362">
        <w:rPr>
          <w:rFonts w:ascii="Calibri" w:hAnsi="Calibri" w:cs="Arial"/>
          <w:color w:val="000000"/>
          <w:sz w:val="24"/>
          <w:szCs w:val="24"/>
        </w:rPr>
        <w:t>Retail Store Drug Outlets</w:t>
      </w:r>
      <w:r>
        <w:rPr>
          <w:rFonts w:ascii="Calibri" w:hAnsi="Calibri" w:cs="Arial"/>
          <w:color w:val="000000"/>
          <w:sz w:val="24"/>
          <w:szCs w:val="24"/>
        </w:rPr>
        <w:t xml:space="preserve">. This assessment </w:t>
      </w:r>
      <w:r w:rsidR="00D24879" w:rsidRPr="00354362">
        <w:rPr>
          <w:rFonts w:ascii="Calibri" w:hAnsi="Calibri" w:cs="Arial"/>
          <w:color w:val="000000"/>
          <w:sz w:val="24"/>
          <w:szCs w:val="24"/>
        </w:rPr>
        <w:t>ceased in 2010/2011.</w:t>
      </w:r>
      <w:r>
        <w:rPr>
          <w:rFonts w:ascii="Calibri" w:hAnsi="Calibri" w:cs="Arial"/>
          <w:color w:val="000000"/>
          <w:sz w:val="24"/>
          <w:szCs w:val="24"/>
        </w:rPr>
        <w:t xml:space="preserve"> (Section 2B, page 4)</w:t>
      </w:r>
    </w:p>
    <w:p w14:paraId="4A717B87" w14:textId="6FDECF6B" w:rsidR="00BA5514" w:rsidRDefault="00BA5514" w:rsidP="00354362">
      <w:pPr>
        <w:pStyle w:val="ListParagraph"/>
        <w:numPr>
          <w:ilvl w:val="1"/>
          <w:numId w:val="21"/>
        </w:numPr>
        <w:tabs>
          <w:tab w:val="clear" w:pos="900"/>
        </w:tabs>
        <w:spacing w:before="0"/>
        <w:contextualSpacing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Added an annual, flat-fee assessment of $500 for prescription drug manufacturers, wholesale drug distributors and PBMs</w:t>
      </w:r>
      <w:r w:rsidR="00DD41FE">
        <w:rPr>
          <w:rFonts w:ascii="Calibri" w:hAnsi="Calibri" w:cs="Arial"/>
          <w:color w:val="000000"/>
          <w:sz w:val="24"/>
          <w:szCs w:val="24"/>
        </w:rPr>
        <w:t xml:space="preserve">, per </w:t>
      </w:r>
      <w:r w:rsidR="00DD41FE" w:rsidRPr="00DD41FE">
        <w:rPr>
          <w:rFonts w:ascii="Calibri" w:hAnsi="Calibri" w:cs="Arial"/>
          <w:color w:val="000000"/>
          <w:sz w:val="24"/>
          <w:szCs w:val="24"/>
        </w:rPr>
        <w:t>§8706, sub-§2</w:t>
      </w:r>
      <w:proofErr w:type="gramStart"/>
      <w:r w:rsidR="00DD41FE" w:rsidRPr="00DD41FE">
        <w:rPr>
          <w:rFonts w:ascii="Calibri" w:hAnsi="Calibri" w:cs="Arial"/>
          <w:color w:val="000000"/>
          <w:sz w:val="24"/>
          <w:szCs w:val="24"/>
        </w:rPr>
        <w:t>C(</w:t>
      </w:r>
      <w:proofErr w:type="gramEnd"/>
      <w:r w:rsidR="00DD41FE" w:rsidRPr="00DD41FE">
        <w:rPr>
          <w:rFonts w:ascii="Calibri" w:hAnsi="Calibri" w:cs="Arial"/>
          <w:color w:val="000000"/>
          <w:sz w:val="24"/>
          <w:szCs w:val="24"/>
        </w:rPr>
        <w:t>4)</w:t>
      </w:r>
      <w:r>
        <w:rPr>
          <w:rFonts w:ascii="Calibri" w:hAnsi="Calibri" w:cs="Arial"/>
          <w:color w:val="000000"/>
          <w:sz w:val="24"/>
          <w:szCs w:val="24"/>
        </w:rPr>
        <w:t>. (Section 2F, page 5)</w:t>
      </w:r>
    </w:p>
    <w:p w14:paraId="267ED86B" w14:textId="2D0D4F57" w:rsidR="00BA5514" w:rsidRPr="00354362" w:rsidRDefault="00BA5514" w:rsidP="00354362">
      <w:pPr>
        <w:pStyle w:val="ListParagraph"/>
        <w:numPr>
          <w:ilvl w:val="1"/>
          <w:numId w:val="21"/>
        </w:numPr>
        <w:tabs>
          <w:tab w:val="clear" w:pos="900"/>
        </w:tabs>
        <w:spacing w:before="0"/>
        <w:contextualSpacing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Clarified the process </w:t>
      </w:r>
      <w:r w:rsidR="00DD41FE">
        <w:rPr>
          <w:rFonts w:ascii="Calibri" w:hAnsi="Calibri" w:cs="Arial"/>
          <w:color w:val="000000"/>
          <w:sz w:val="24"/>
          <w:szCs w:val="24"/>
        </w:rPr>
        <w:t>through</w:t>
      </w:r>
      <w:r>
        <w:rPr>
          <w:rFonts w:ascii="Calibri" w:hAnsi="Calibri" w:cs="Arial"/>
          <w:color w:val="000000"/>
          <w:sz w:val="24"/>
          <w:szCs w:val="24"/>
        </w:rPr>
        <w:t xml:space="preserve"> which the MHDO gathers financial information from payers</w:t>
      </w:r>
      <w:r w:rsidR="00B41797">
        <w:rPr>
          <w:rFonts w:ascii="Calibri" w:hAnsi="Calibri" w:cs="Arial"/>
          <w:color w:val="000000"/>
          <w:sz w:val="24"/>
          <w:szCs w:val="24"/>
        </w:rPr>
        <w:t xml:space="preserve"> for the determination of the annual assessment and how the organization requests payment. (Sections 3A-C, pages 5 and 6)</w:t>
      </w:r>
    </w:p>
    <w:p w14:paraId="31709067" w14:textId="028FFF64" w:rsidR="00D24879" w:rsidRDefault="00435A18" w:rsidP="001E2B5E">
      <w:pPr>
        <w:pStyle w:val="ListParagraph"/>
        <w:numPr>
          <w:ilvl w:val="1"/>
          <w:numId w:val="21"/>
        </w:numPr>
        <w:tabs>
          <w:tab w:val="clear" w:pos="900"/>
        </w:tabs>
        <w:spacing w:before="0"/>
        <w:contextualSpacing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Corrections</w:t>
      </w:r>
      <w:bookmarkStart w:id="0" w:name="_GoBack"/>
      <w:bookmarkEnd w:id="0"/>
      <w:r w:rsidR="00D24879">
        <w:rPr>
          <w:rFonts w:ascii="Calibri" w:hAnsi="Calibri" w:cs="Arial"/>
          <w:color w:val="000000"/>
          <w:sz w:val="24"/>
          <w:szCs w:val="24"/>
        </w:rPr>
        <w:t xml:space="preserve"> (pages 1-3, </w:t>
      </w:r>
      <w:r w:rsidR="00B41797">
        <w:rPr>
          <w:rFonts w:ascii="Calibri" w:hAnsi="Calibri" w:cs="Arial"/>
          <w:color w:val="000000"/>
          <w:sz w:val="24"/>
          <w:szCs w:val="24"/>
        </w:rPr>
        <w:t xml:space="preserve">5, </w:t>
      </w:r>
      <w:r w:rsidR="00D24879">
        <w:rPr>
          <w:rFonts w:ascii="Calibri" w:hAnsi="Calibri" w:cs="Arial"/>
          <w:color w:val="000000"/>
          <w:sz w:val="24"/>
          <w:szCs w:val="24"/>
        </w:rPr>
        <w:t>6)</w:t>
      </w:r>
    </w:p>
    <w:p w14:paraId="2C2BE7A0" w14:textId="77777777" w:rsidR="00D24879" w:rsidRPr="00D24879" w:rsidRDefault="00D24879" w:rsidP="00D24879">
      <w:pPr>
        <w:spacing w:before="0"/>
        <w:rPr>
          <w:rFonts w:ascii="Calibri" w:hAnsi="Calibri" w:cs="Arial"/>
          <w:color w:val="000000"/>
          <w:sz w:val="24"/>
          <w:szCs w:val="24"/>
        </w:rPr>
      </w:pPr>
    </w:p>
    <w:sectPr w:rsidR="00D24879" w:rsidRPr="00D24879" w:rsidSect="00F36B87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A378C" w14:textId="77777777" w:rsidR="00FD685D" w:rsidRDefault="00FD685D" w:rsidP="00364CCC">
      <w:r>
        <w:separator/>
      </w:r>
    </w:p>
    <w:p w14:paraId="7591E87F" w14:textId="77777777" w:rsidR="00FD685D" w:rsidRDefault="00FD685D" w:rsidP="00364CCC"/>
  </w:endnote>
  <w:endnote w:type="continuationSeparator" w:id="0">
    <w:p w14:paraId="563FB14D" w14:textId="77777777" w:rsidR="00FD685D" w:rsidRDefault="00FD685D" w:rsidP="00364CCC">
      <w:r>
        <w:continuationSeparator/>
      </w:r>
    </w:p>
    <w:p w14:paraId="6481B528" w14:textId="77777777" w:rsidR="00FD685D" w:rsidRDefault="00FD685D" w:rsidP="00364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C362" w14:textId="2138234B" w:rsidR="003F45D2" w:rsidRDefault="00BC7AE8" w:rsidP="00364CC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A08C3">
      <w:rPr>
        <w:noProof/>
      </w:rPr>
      <w:t>1</w:t>
    </w:r>
    <w:r>
      <w:rPr>
        <w:noProof/>
      </w:rPr>
      <w:fldChar w:fldCharType="end"/>
    </w:r>
    <w:r>
      <w:t xml:space="preserve"> | </w:t>
    </w:r>
    <w:r w:rsidRPr="00BC7AE8">
      <w:rPr>
        <w:color w:val="808080"/>
        <w:spacing w:val="60"/>
      </w:rPr>
      <w:t>Page</w:t>
    </w:r>
  </w:p>
  <w:p w14:paraId="0D56532F" w14:textId="77777777" w:rsidR="0092463D" w:rsidRDefault="0092463D" w:rsidP="00364C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2040F" w14:textId="77777777" w:rsidR="00FD685D" w:rsidRDefault="00FD685D" w:rsidP="00364CCC">
      <w:r>
        <w:separator/>
      </w:r>
    </w:p>
    <w:p w14:paraId="0342770A" w14:textId="77777777" w:rsidR="00FD685D" w:rsidRDefault="00FD685D" w:rsidP="00364CCC"/>
  </w:footnote>
  <w:footnote w:type="continuationSeparator" w:id="0">
    <w:p w14:paraId="73EA4473" w14:textId="77777777" w:rsidR="00FD685D" w:rsidRDefault="00FD685D" w:rsidP="00364CCC">
      <w:r>
        <w:continuationSeparator/>
      </w:r>
    </w:p>
    <w:p w14:paraId="7D50D8D3" w14:textId="77777777" w:rsidR="00FD685D" w:rsidRDefault="00FD685D" w:rsidP="00364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57349" w14:textId="77777777" w:rsidR="00D43AB2" w:rsidRPr="00491264" w:rsidRDefault="00114FB7" w:rsidP="00364CCC">
    <w:pPr>
      <w:pStyle w:val="Header"/>
      <w:rPr>
        <w:sz w:val="24"/>
        <w:szCs w:val="24"/>
      </w:rPr>
    </w:pPr>
    <w:r w:rsidRPr="00364CCC">
      <w:tab/>
    </w:r>
    <w:r w:rsidR="002066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CE1"/>
    <w:multiLevelType w:val="hybridMultilevel"/>
    <w:tmpl w:val="2ECA5DF4"/>
    <w:lvl w:ilvl="0" w:tplc="13226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B49"/>
    <w:multiLevelType w:val="hybridMultilevel"/>
    <w:tmpl w:val="F65016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CB548C"/>
    <w:multiLevelType w:val="hybridMultilevel"/>
    <w:tmpl w:val="8A5A439A"/>
    <w:lvl w:ilvl="0" w:tplc="C468863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64E1D"/>
    <w:multiLevelType w:val="hybridMultilevel"/>
    <w:tmpl w:val="01EE58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5351E6"/>
    <w:multiLevelType w:val="hybridMultilevel"/>
    <w:tmpl w:val="0638F9B4"/>
    <w:lvl w:ilvl="0" w:tplc="1BAE2DE2">
      <w:start w:val="1"/>
      <w:numFmt w:val="decimal"/>
      <w:pStyle w:val="NumberedParagraph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15ED3"/>
    <w:multiLevelType w:val="hybridMultilevel"/>
    <w:tmpl w:val="04E292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061439"/>
    <w:multiLevelType w:val="hybridMultilevel"/>
    <w:tmpl w:val="85407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332FA"/>
    <w:multiLevelType w:val="hybridMultilevel"/>
    <w:tmpl w:val="8D429FCA"/>
    <w:lvl w:ilvl="0" w:tplc="EDD24A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233DB"/>
    <w:multiLevelType w:val="hybridMultilevel"/>
    <w:tmpl w:val="C6E4D014"/>
    <w:lvl w:ilvl="0" w:tplc="414A0868">
      <w:start w:val="1"/>
      <w:numFmt w:val="lowerLetter"/>
      <w:pStyle w:val="Lettere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9A3FEA"/>
    <w:multiLevelType w:val="hybridMultilevel"/>
    <w:tmpl w:val="372ACB36"/>
    <w:lvl w:ilvl="0" w:tplc="6344C3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62416"/>
    <w:multiLevelType w:val="hybridMultilevel"/>
    <w:tmpl w:val="7CCC3A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C54F6C"/>
    <w:multiLevelType w:val="hybridMultilevel"/>
    <w:tmpl w:val="5E880162"/>
    <w:lvl w:ilvl="0" w:tplc="D0AE2C2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1E3E8A"/>
    <w:multiLevelType w:val="hybridMultilevel"/>
    <w:tmpl w:val="E000E5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DE8655A"/>
    <w:multiLevelType w:val="multilevel"/>
    <w:tmpl w:val="5FE419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C3E5C"/>
    <w:multiLevelType w:val="hybridMultilevel"/>
    <w:tmpl w:val="5E94B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052B9F"/>
    <w:multiLevelType w:val="hybridMultilevel"/>
    <w:tmpl w:val="93EC564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C64A5F"/>
    <w:multiLevelType w:val="hybridMultilevel"/>
    <w:tmpl w:val="C1348EB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4"/>
  </w:num>
  <w:num w:numId="16">
    <w:abstractNumId w:val="9"/>
  </w:num>
  <w:num w:numId="17">
    <w:abstractNumId w:val="16"/>
  </w:num>
  <w:num w:numId="18">
    <w:abstractNumId w:val="3"/>
  </w:num>
  <w:num w:numId="19">
    <w:abstractNumId w:val="12"/>
  </w:num>
  <w:num w:numId="20">
    <w:abstractNumId w:val="6"/>
  </w:num>
  <w:num w:numId="21">
    <w:abstractNumId w:val="7"/>
  </w:num>
  <w:num w:numId="22">
    <w:abstractNumId w:val="1"/>
  </w:num>
  <w:num w:numId="23">
    <w:abstractNumId w:val="9"/>
  </w:num>
  <w:num w:numId="24">
    <w:abstractNumId w:val="9"/>
  </w:num>
  <w:num w:numId="25">
    <w:abstractNumId w:val="10"/>
  </w:num>
  <w:num w:numId="26">
    <w:abstractNumId w:val="9"/>
  </w:num>
  <w:num w:numId="27">
    <w:abstractNumId w:val="9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79"/>
    <w:rsid w:val="0001121C"/>
    <w:rsid w:val="000226A1"/>
    <w:rsid w:val="00031690"/>
    <w:rsid w:val="000355F3"/>
    <w:rsid w:val="00037A51"/>
    <w:rsid w:val="00045891"/>
    <w:rsid w:val="00054D79"/>
    <w:rsid w:val="00057885"/>
    <w:rsid w:val="000654E6"/>
    <w:rsid w:val="000657FC"/>
    <w:rsid w:val="0006758A"/>
    <w:rsid w:val="000727EE"/>
    <w:rsid w:val="00096B64"/>
    <w:rsid w:val="000A158F"/>
    <w:rsid w:val="000A7508"/>
    <w:rsid w:val="000C6E2A"/>
    <w:rsid w:val="000E4F9D"/>
    <w:rsid w:val="000E705B"/>
    <w:rsid w:val="000E7C0D"/>
    <w:rsid w:val="00102E53"/>
    <w:rsid w:val="00114FB7"/>
    <w:rsid w:val="0011568A"/>
    <w:rsid w:val="00116907"/>
    <w:rsid w:val="001221AC"/>
    <w:rsid w:val="00123E3B"/>
    <w:rsid w:val="00127012"/>
    <w:rsid w:val="001334C3"/>
    <w:rsid w:val="00135750"/>
    <w:rsid w:val="00143AE5"/>
    <w:rsid w:val="001504E4"/>
    <w:rsid w:val="001608CF"/>
    <w:rsid w:val="001744FF"/>
    <w:rsid w:val="001779E9"/>
    <w:rsid w:val="0018675B"/>
    <w:rsid w:val="00197427"/>
    <w:rsid w:val="001A4C8A"/>
    <w:rsid w:val="001B0215"/>
    <w:rsid w:val="001C18A4"/>
    <w:rsid w:val="001D5036"/>
    <w:rsid w:val="001E0F3C"/>
    <w:rsid w:val="001E1EF1"/>
    <w:rsid w:val="001E24E7"/>
    <w:rsid w:val="001E2525"/>
    <w:rsid w:val="001E2B5E"/>
    <w:rsid w:val="001E6895"/>
    <w:rsid w:val="001F4526"/>
    <w:rsid w:val="001F6E46"/>
    <w:rsid w:val="00200EE6"/>
    <w:rsid w:val="00202F4B"/>
    <w:rsid w:val="00206623"/>
    <w:rsid w:val="00210051"/>
    <w:rsid w:val="00215CE7"/>
    <w:rsid w:val="002229D4"/>
    <w:rsid w:val="00224DDB"/>
    <w:rsid w:val="0022622D"/>
    <w:rsid w:val="002324D9"/>
    <w:rsid w:val="00244707"/>
    <w:rsid w:val="00246C03"/>
    <w:rsid w:val="00247964"/>
    <w:rsid w:val="0025024E"/>
    <w:rsid w:val="00260620"/>
    <w:rsid w:val="00262757"/>
    <w:rsid w:val="0028388E"/>
    <w:rsid w:val="00284CE9"/>
    <w:rsid w:val="00294A0E"/>
    <w:rsid w:val="002A38FC"/>
    <w:rsid w:val="002B0C91"/>
    <w:rsid w:val="002C4930"/>
    <w:rsid w:val="002C53E9"/>
    <w:rsid w:val="002C6FFA"/>
    <w:rsid w:val="002D2222"/>
    <w:rsid w:val="002F37EC"/>
    <w:rsid w:val="002F3AA4"/>
    <w:rsid w:val="002F7226"/>
    <w:rsid w:val="00311EEE"/>
    <w:rsid w:val="003140F1"/>
    <w:rsid w:val="0031647E"/>
    <w:rsid w:val="00334F10"/>
    <w:rsid w:val="00341B11"/>
    <w:rsid w:val="00342BB5"/>
    <w:rsid w:val="00350A4B"/>
    <w:rsid w:val="00353C87"/>
    <w:rsid w:val="00354362"/>
    <w:rsid w:val="0035535F"/>
    <w:rsid w:val="003628CD"/>
    <w:rsid w:val="00364CCC"/>
    <w:rsid w:val="00370545"/>
    <w:rsid w:val="00373B27"/>
    <w:rsid w:val="003759BC"/>
    <w:rsid w:val="00383BD0"/>
    <w:rsid w:val="003844B7"/>
    <w:rsid w:val="003864C8"/>
    <w:rsid w:val="003B47D8"/>
    <w:rsid w:val="003B77DA"/>
    <w:rsid w:val="003D0973"/>
    <w:rsid w:val="003D2B6E"/>
    <w:rsid w:val="003D5832"/>
    <w:rsid w:val="003D5EA2"/>
    <w:rsid w:val="003E3952"/>
    <w:rsid w:val="003E68A6"/>
    <w:rsid w:val="003E6E25"/>
    <w:rsid w:val="003F45D2"/>
    <w:rsid w:val="004039C5"/>
    <w:rsid w:val="00407F71"/>
    <w:rsid w:val="00433AE9"/>
    <w:rsid w:val="00435A18"/>
    <w:rsid w:val="00440052"/>
    <w:rsid w:val="00440B9F"/>
    <w:rsid w:val="00473801"/>
    <w:rsid w:val="00473EA0"/>
    <w:rsid w:val="00476DE9"/>
    <w:rsid w:val="00491264"/>
    <w:rsid w:val="004921C0"/>
    <w:rsid w:val="004A05D6"/>
    <w:rsid w:val="004C6B86"/>
    <w:rsid w:val="004D2707"/>
    <w:rsid w:val="004D47FF"/>
    <w:rsid w:val="004D564D"/>
    <w:rsid w:val="004D6887"/>
    <w:rsid w:val="004E0F5F"/>
    <w:rsid w:val="004E6FA0"/>
    <w:rsid w:val="004E7B37"/>
    <w:rsid w:val="00500C17"/>
    <w:rsid w:val="005170ED"/>
    <w:rsid w:val="00523AC7"/>
    <w:rsid w:val="00534B19"/>
    <w:rsid w:val="0054695F"/>
    <w:rsid w:val="00547F93"/>
    <w:rsid w:val="00554A1F"/>
    <w:rsid w:val="00566272"/>
    <w:rsid w:val="00571030"/>
    <w:rsid w:val="005869F1"/>
    <w:rsid w:val="00587073"/>
    <w:rsid w:val="0059018A"/>
    <w:rsid w:val="005912D7"/>
    <w:rsid w:val="005C3B00"/>
    <w:rsid w:val="005C4908"/>
    <w:rsid w:val="005C58DA"/>
    <w:rsid w:val="005D55A4"/>
    <w:rsid w:val="00622863"/>
    <w:rsid w:val="0063708A"/>
    <w:rsid w:val="00640059"/>
    <w:rsid w:val="0064190F"/>
    <w:rsid w:val="00645394"/>
    <w:rsid w:val="00656A0B"/>
    <w:rsid w:val="00661D21"/>
    <w:rsid w:val="006761F1"/>
    <w:rsid w:val="0069758D"/>
    <w:rsid w:val="006A14BD"/>
    <w:rsid w:val="006B05C4"/>
    <w:rsid w:val="006B067B"/>
    <w:rsid w:val="006B213E"/>
    <w:rsid w:val="006C3098"/>
    <w:rsid w:val="006C7517"/>
    <w:rsid w:val="006D0F79"/>
    <w:rsid w:val="006E2533"/>
    <w:rsid w:val="006E5D4D"/>
    <w:rsid w:val="006E7FAD"/>
    <w:rsid w:val="0070090F"/>
    <w:rsid w:val="007302E6"/>
    <w:rsid w:val="007309C8"/>
    <w:rsid w:val="00733E42"/>
    <w:rsid w:val="007344F1"/>
    <w:rsid w:val="00735C81"/>
    <w:rsid w:val="00740178"/>
    <w:rsid w:val="00751CFD"/>
    <w:rsid w:val="0077633F"/>
    <w:rsid w:val="00782C39"/>
    <w:rsid w:val="007A0217"/>
    <w:rsid w:val="007A08C3"/>
    <w:rsid w:val="007A2AAF"/>
    <w:rsid w:val="007B2ED6"/>
    <w:rsid w:val="007B3983"/>
    <w:rsid w:val="007B6278"/>
    <w:rsid w:val="007C5F0A"/>
    <w:rsid w:val="007F4AFD"/>
    <w:rsid w:val="007F640F"/>
    <w:rsid w:val="00802F66"/>
    <w:rsid w:val="0080378D"/>
    <w:rsid w:val="00811CC1"/>
    <w:rsid w:val="00813AA0"/>
    <w:rsid w:val="00814AFA"/>
    <w:rsid w:val="00833E30"/>
    <w:rsid w:val="0084240D"/>
    <w:rsid w:val="00850319"/>
    <w:rsid w:val="00865326"/>
    <w:rsid w:val="00865DA9"/>
    <w:rsid w:val="00874C47"/>
    <w:rsid w:val="00876746"/>
    <w:rsid w:val="00876AC3"/>
    <w:rsid w:val="00880F55"/>
    <w:rsid w:val="00884FBD"/>
    <w:rsid w:val="00895CDA"/>
    <w:rsid w:val="008B2D6D"/>
    <w:rsid w:val="008D4B3C"/>
    <w:rsid w:val="00900586"/>
    <w:rsid w:val="00917D7F"/>
    <w:rsid w:val="00921561"/>
    <w:rsid w:val="0092463D"/>
    <w:rsid w:val="0093151D"/>
    <w:rsid w:val="0093637B"/>
    <w:rsid w:val="00974EEF"/>
    <w:rsid w:val="00982EA9"/>
    <w:rsid w:val="009959E2"/>
    <w:rsid w:val="009A1D74"/>
    <w:rsid w:val="009A1EEC"/>
    <w:rsid w:val="009B6CB5"/>
    <w:rsid w:val="009B7754"/>
    <w:rsid w:val="009C46CA"/>
    <w:rsid w:val="009D29D1"/>
    <w:rsid w:val="009D3837"/>
    <w:rsid w:val="009E48A4"/>
    <w:rsid w:val="009F3329"/>
    <w:rsid w:val="00A01571"/>
    <w:rsid w:val="00A040A7"/>
    <w:rsid w:val="00A16C2D"/>
    <w:rsid w:val="00A22FAA"/>
    <w:rsid w:val="00A26B11"/>
    <w:rsid w:val="00A303A9"/>
    <w:rsid w:val="00A4628F"/>
    <w:rsid w:val="00A67CC8"/>
    <w:rsid w:val="00A754ED"/>
    <w:rsid w:val="00AB071E"/>
    <w:rsid w:val="00AB0E27"/>
    <w:rsid w:val="00AD42B6"/>
    <w:rsid w:val="00AE5B98"/>
    <w:rsid w:val="00AF14D9"/>
    <w:rsid w:val="00B00F2B"/>
    <w:rsid w:val="00B10A93"/>
    <w:rsid w:val="00B152BF"/>
    <w:rsid w:val="00B20211"/>
    <w:rsid w:val="00B22265"/>
    <w:rsid w:val="00B317A0"/>
    <w:rsid w:val="00B321C4"/>
    <w:rsid w:val="00B4147C"/>
    <w:rsid w:val="00B41797"/>
    <w:rsid w:val="00B540A6"/>
    <w:rsid w:val="00B61D82"/>
    <w:rsid w:val="00B74E74"/>
    <w:rsid w:val="00B7541D"/>
    <w:rsid w:val="00B769F1"/>
    <w:rsid w:val="00B76E08"/>
    <w:rsid w:val="00B860B7"/>
    <w:rsid w:val="00B92B57"/>
    <w:rsid w:val="00BA1816"/>
    <w:rsid w:val="00BA5514"/>
    <w:rsid w:val="00BB01D6"/>
    <w:rsid w:val="00BC7AE8"/>
    <w:rsid w:val="00BD24CD"/>
    <w:rsid w:val="00BD28BB"/>
    <w:rsid w:val="00BE08A6"/>
    <w:rsid w:val="00BE112C"/>
    <w:rsid w:val="00BE3477"/>
    <w:rsid w:val="00BE4392"/>
    <w:rsid w:val="00BE62A0"/>
    <w:rsid w:val="00BF77AD"/>
    <w:rsid w:val="00C02765"/>
    <w:rsid w:val="00C075C5"/>
    <w:rsid w:val="00C371EC"/>
    <w:rsid w:val="00C571BF"/>
    <w:rsid w:val="00CA5B91"/>
    <w:rsid w:val="00CE3A4E"/>
    <w:rsid w:val="00CE405D"/>
    <w:rsid w:val="00D019AC"/>
    <w:rsid w:val="00D154D5"/>
    <w:rsid w:val="00D24879"/>
    <w:rsid w:val="00D31ED7"/>
    <w:rsid w:val="00D43AB2"/>
    <w:rsid w:val="00D550F5"/>
    <w:rsid w:val="00D71543"/>
    <w:rsid w:val="00D76BFB"/>
    <w:rsid w:val="00D8742D"/>
    <w:rsid w:val="00D95E94"/>
    <w:rsid w:val="00D96FBB"/>
    <w:rsid w:val="00DC2DF8"/>
    <w:rsid w:val="00DD40B7"/>
    <w:rsid w:val="00DD41FE"/>
    <w:rsid w:val="00DD77D5"/>
    <w:rsid w:val="00DE63D3"/>
    <w:rsid w:val="00DF524D"/>
    <w:rsid w:val="00E023E3"/>
    <w:rsid w:val="00E10606"/>
    <w:rsid w:val="00E13A66"/>
    <w:rsid w:val="00E21446"/>
    <w:rsid w:val="00E23C93"/>
    <w:rsid w:val="00E32106"/>
    <w:rsid w:val="00E4080C"/>
    <w:rsid w:val="00E70372"/>
    <w:rsid w:val="00E74A72"/>
    <w:rsid w:val="00E84996"/>
    <w:rsid w:val="00E919C9"/>
    <w:rsid w:val="00E974E0"/>
    <w:rsid w:val="00EA40AE"/>
    <w:rsid w:val="00EC00EF"/>
    <w:rsid w:val="00EC151C"/>
    <w:rsid w:val="00EC6461"/>
    <w:rsid w:val="00ED02A6"/>
    <w:rsid w:val="00EF11FA"/>
    <w:rsid w:val="00EF464E"/>
    <w:rsid w:val="00EF504D"/>
    <w:rsid w:val="00EF5E13"/>
    <w:rsid w:val="00F0139B"/>
    <w:rsid w:val="00F05CBE"/>
    <w:rsid w:val="00F0795A"/>
    <w:rsid w:val="00F10556"/>
    <w:rsid w:val="00F15941"/>
    <w:rsid w:val="00F3103A"/>
    <w:rsid w:val="00F34768"/>
    <w:rsid w:val="00F36B87"/>
    <w:rsid w:val="00F40C2B"/>
    <w:rsid w:val="00F43658"/>
    <w:rsid w:val="00F45FFF"/>
    <w:rsid w:val="00F47C46"/>
    <w:rsid w:val="00F53F32"/>
    <w:rsid w:val="00F56AE6"/>
    <w:rsid w:val="00F57752"/>
    <w:rsid w:val="00F8235D"/>
    <w:rsid w:val="00F8526E"/>
    <w:rsid w:val="00F86162"/>
    <w:rsid w:val="00F86F76"/>
    <w:rsid w:val="00FA5781"/>
    <w:rsid w:val="00FB2C57"/>
    <w:rsid w:val="00FB4EF6"/>
    <w:rsid w:val="00FB5768"/>
    <w:rsid w:val="00FB6F72"/>
    <w:rsid w:val="00FC07CA"/>
    <w:rsid w:val="00FD110D"/>
    <w:rsid w:val="00FD41CF"/>
    <w:rsid w:val="00FD685D"/>
    <w:rsid w:val="00FE3DDF"/>
    <w:rsid w:val="00FE5477"/>
    <w:rsid w:val="00FF3137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199B8"/>
  <w15:chartTrackingRefBased/>
  <w15:docId w15:val="{7A039F58-7D8D-4595-8C07-2DEC52D5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4CCC"/>
    <w:pPr>
      <w:spacing w:before="240"/>
    </w:pPr>
    <w:rPr>
      <w:rFonts w:asciiTheme="minorHAnsi" w:hAnsiTheme="min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54D7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Lettered">
    <w:name w:val="Lettered"/>
    <w:basedOn w:val="Normal"/>
    <w:qFormat/>
    <w:rsid w:val="00865DA9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rsid w:val="00AD4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4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3E9"/>
    <w:pPr>
      <w:numPr>
        <w:numId w:val="4"/>
      </w:numPr>
      <w:tabs>
        <w:tab w:val="left" w:pos="900"/>
      </w:tabs>
      <w:contextualSpacing/>
    </w:pPr>
  </w:style>
  <w:style w:type="table" w:styleId="TableGrid">
    <w:name w:val="Table Grid"/>
    <w:basedOn w:val="TableNormal"/>
    <w:uiPriority w:val="39"/>
    <w:rsid w:val="00554A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AE8"/>
  </w:style>
  <w:style w:type="paragraph" w:styleId="Footer">
    <w:name w:val="footer"/>
    <w:basedOn w:val="Normal"/>
    <w:link w:val="FooterChar"/>
    <w:uiPriority w:val="99"/>
    <w:rsid w:val="00BC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AE8"/>
  </w:style>
  <w:style w:type="paragraph" w:styleId="Title">
    <w:name w:val="Title"/>
    <w:next w:val="Normal"/>
    <w:link w:val="TitleChar"/>
    <w:qFormat/>
    <w:rsid w:val="00364CCC"/>
    <w:pPr>
      <w:jc w:val="center"/>
    </w:pPr>
    <w:rPr>
      <w:rFonts w:ascii="Calibri" w:hAnsi="Calibri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64CCC"/>
    <w:rPr>
      <w:rFonts w:ascii="Calibri" w:hAnsi="Calibri" w:cs="Arial"/>
      <w:b/>
      <w:sz w:val="28"/>
      <w:szCs w:val="28"/>
    </w:rPr>
  </w:style>
  <w:style w:type="paragraph" w:customStyle="1" w:styleId="NumberedParagraph">
    <w:name w:val="Numbered Paragraph"/>
    <w:basedOn w:val="Normal"/>
    <w:next w:val="Indented"/>
    <w:qFormat/>
    <w:rsid w:val="000E4F9D"/>
    <w:pPr>
      <w:numPr>
        <w:numId w:val="2"/>
      </w:numPr>
      <w:ind w:left="450" w:hanging="450"/>
    </w:pPr>
  </w:style>
  <w:style w:type="paragraph" w:customStyle="1" w:styleId="Indented">
    <w:name w:val="Indented"/>
    <w:basedOn w:val="Normal"/>
    <w:next w:val="NumberedParagraph"/>
    <w:qFormat/>
    <w:rsid w:val="000E4F9D"/>
    <w:pPr>
      <w:ind w:left="450"/>
    </w:pPr>
  </w:style>
  <w:style w:type="character" w:styleId="CommentReference">
    <w:name w:val="annotation reference"/>
    <w:basedOn w:val="DefaultParagraphFont"/>
    <w:rsid w:val="00143A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895"/>
    <w:rPr>
      <w:rFonts w:ascii="Arial" w:hAnsi="Arial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rsid w:val="001E6895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143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AE5"/>
    <w:rPr>
      <w:rFonts w:ascii="Arial" w:hAnsi="Arial"/>
      <w:b/>
      <w:bCs/>
      <w:sz w:val="24"/>
    </w:rPr>
  </w:style>
  <w:style w:type="paragraph" w:styleId="Revision">
    <w:name w:val="Revision"/>
    <w:hidden/>
    <w:uiPriority w:val="99"/>
    <w:semiHidden/>
    <w:rsid w:val="00876746"/>
    <w:rPr>
      <w:rFonts w:asciiTheme="minorHAnsi" w:hAnsiTheme="minorHAnsi"/>
      <w:sz w:val="28"/>
      <w:szCs w:val="28"/>
    </w:rPr>
  </w:style>
  <w:style w:type="character" w:styleId="Hyperlink">
    <w:name w:val="Hyperlink"/>
    <w:basedOn w:val="DefaultParagraphFont"/>
    <w:rsid w:val="008767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746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A4628F"/>
  </w:style>
  <w:style w:type="paragraph" w:styleId="BodyTextIndent">
    <w:name w:val="Body Text Indent"/>
    <w:basedOn w:val="Normal"/>
    <w:link w:val="BodyTextIndentChar"/>
    <w:rsid w:val="00D550F5"/>
    <w:pPr>
      <w:tabs>
        <w:tab w:val="left" w:pos="720"/>
        <w:tab w:val="left" w:pos="1440"/>
        <w:tab w:val="left" w:pos="2160"/>
        <w:tab w:val="left" w:pos="2880"/>
      </w:tabs>
      <w:spacing w:before="0"/>
      <w:ind w:left="720" w:hanging="720"/>
    </w:pPr>
    <w:rPr>
      <w:rFonts w:ascii="Arial" w:hAnsi="Arial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550F5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6A0C-5ED0-4985-BC34-C5E7BBA2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50</vt:lpstr>
    </vt:vector>
  </TitlesOfParts>
  <Company>Maine Health Data Organization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50</dc:title>
  <dc:subject/>
  <dc:creator>tuckd</dc:creator>
  <cp:keywords/>
  <cp:lastModifiedBy>Dodge, Debra J</cp:lastModifiedBy>
  <cp:revision>3</cp:revision>
  <cp:lastPrinted>2019-09-04T14:47:00Z</cp:lastPrinted>
  <dcterms:created xsi:type="dcterms:W3CDTF">2019-09-12T18:25:00Z</dcterms:created>
  <dcterms:modified xsi:type="dcterms:W3CDTF">2019-10-18T12:42:00Z</dcterms:modified>
</cp:coreProperties>
</file>