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3A2C07" w14:textId="77777777" w:rsidR="003F45D2" w:rsidRPr="00364CCC" w:rsidRDefault="003F45D2" w:rsidP="00491264">
      <w:pPr>
        <w:pStyle w:val="Title"/>
        <w:jc w:val="left"/>
      </w:pPr>
      <w:bookmarkStart w:id="0" w:name="_GoBack"/>
      <w:bookmarkEnd w:id="0"/>
    </w:p>
    <w:p w14:paraId="63E4B472" w14:textId="77777777" w:rsidR="00AB6847" w:rsidRDefault="00370545" w:rsidP="00AB6847">
      <w:pPr>
        <w:pStyle w:val="Title"/>
        <w:pBdr>
          <w:top w:val="single" w:sz="4" w:space="1" w:color="auto"/>
          <w:left w:val="single" w:sz="4" w:space="4" w:color="auto"/>
          <w:bottom w:val="single" w:sz="4" w:space="1" w:color="auto"/>
          <w:right w:val="single" w:sz="4" w:space="4" w:color="auto"/>
        </w:pBdr>
        <w:spacing w:before="240"/>
        <w:rPr>
          <w:sz w:val="32"/>
          <w:szCs w:val="32"/>
        </w:rPr>
      </w:pPr>
      <w:r w:rsidRPr="00491264">
        <w:rPr>
          <w:sz w:val="32"/>
          <w:szCs w:val="32"/>
        </w:rPr>
        <w:t xml:space="preserve">90-590 Maine Health Data Organization </w:t>
      </w:r>
    </w:p>
    <w:p w14:paraId="1CB75037" w14:textId="43B271B7" w:rsidR="00AB6847" w:rsidRPr="00491264" w:rsidRDefault="009D6766" w:rsidP="00AB6847">
      <w:pPr>
        <w:pStyle w:val="Title"/>
        <w:pBdr>
          <w:top w:val="single" w:sz="4" w:space="1" w:color="auto"/>
          <w:left w:val="single" w:sz="4" w:space="4" w:color="auto"/>
          <w:bottom w:val="single" w:sz="4" w:space="1" w:color="auto"/>
          <w:right w:val="single" w:sz="4" w:space="4" w:color="auto"/>
        </w:pBdr>
        <w:spacing w:before="240"/>
      </w:pPr>
      <w:r>
        <w:t>Final</w:t>
      </w:r>
      <w:r w:rsidR="00AB6847">
        <w:t xml:space="preserve"> Rule Summary of Changes and Basis Statement</w:t>
      </w:r>
      <w:r w:rsidR="00AB6847" w:rsidRPr="00364CCC">
        <w:br/>
        <w:t>Chapter 2</w:t>
      </w:r>
      <w:r w:rsidR="00AB6847">
        <w:t>43</w:t>
      </w:r>
      <w:r w:rsidR="00AB6847" w:rsidRPr="00364CCC">
        <w:t xml:space="preserve">:  Uniform Reporting System for </w:t>
      </w:r>
      <w:r w:rsidR="00AB6847">
        <w:t>Health Care Claims Data Sets</w:t>
      </w:r>
    </w:p>
    <w:p w14:paraId="36B7DB0A" w14:textId="40A52F7E" w:rsidR="00370545" w:rsidRPr="00AB6847" w:rsidRDefault="00AB6847" w:rsidP="00AB6847">
      <w:pPr>
        <w:pStyle w:val="Title"/>
        <w:pBdr>
          <w:top w:val="single" w:sz="4" w:space="1" w:color="auto"/>
          <w:left w:val="single" w:sz="4" w:space="4" w:color="auto"/>
          <w:bottom w:val="single" w:sz="4" w:space="1" w:color="auto"/>
          <w:right w:val="single" w:sz="4" w:space="4" w:color="auto"/>
        </w:pBdr>
        <w:spacing w:before="240"/>
        <w:rPr>
          <w:sz w:val="24"/>
          <w:szCs w:val="24"/>
        </w:rPr>
      </w:pPr>
      <w:r w:rsidRPr="00AB6847">
        <w:rPr>
          <w:i/>
          <w:sz w:val="24"/>
          <w:szCs w:val="24"/>
        </w:rPr>
        <w:t>(Routine Technical Rule)</w:t>
      </w:r>
    </w:p>
    <w:p w14:paraId="194EE4FA" w14:textId="77777777" w:rsidR="00F43658" w:rsidRDefault="00F43658" w:rsidP="00F43658">
      <w:pPr>
        <w:pStyle w:val="DefaultText"/>
      </w:pPr>
      <w:r>
        <w:t>The Maine Health Data Organization is authorized by statute to collect health care data.  The purpose of this Chapter is to explain the provisions for filing health care claims data sets from all third-party payers, third-party administrators, Medicare health plan sponsors and pharmacy benefits managers.</w:t>
      </w:r>
    </w:p>
    <w:p w14:paraId="02B314A1" w14:textId="25899DFC" w:rsidR="000355F3" w:rsidRPr="000355F3" w:rsidRDefault="000355F3" w:rsidP="00F43658">
      <w:pPr>
        <w:pStyle w:val="DefaultText"/>
      </w:pPr>
      <w:r>
        <w:t xml:space="preserve">The MHDO Board met on </w:t>
      </w:r>
      <w:r w:rsidR="00F43658">
        <w:t>May 23</w:t>
      </w:r>
      <w:r>
        <w:t>, 201</w:t>
      </w:r>
      <w:r w:rsidR="00F43658">
        <w:t>9</w:t>
      </w:r>
      <w:r>
        <w:t xml:space="preserve"> and authorized the MHDO to initiate rulemaking to Chapter 2</w:t>
      </w:r>
      <w:r w:rsidR="00645394">
        <w:t>43</w:t>
      </w:r>
      <w:r>
        <w:t>.</w:t>
      </w:r>
      <w:r w:rsidR="00F1036E">
        <w:t xml:space="preserve"> </w:t>
      </w:r>
      <w:r w:rsidR="00AB6847">
        <w:t xml:space="preserve">The proposed rule was publicly noticed on </w:t>
      </w:r>
      <w:r w:rsidR="00331E62">
        <w:t>August 14, 2019 and a public hearing was held on September 5, 2019 in Augusta. No public comments were received at the public hearing or by the 10-day comment period of September 16, 2019. The Board adopted the routine technical rule on November 21, 2019.</w:t>
      </w:r>
    </w:p>
    <w:p w14:paraId="2B2B14BE" w14:textId="77777777" w:rsidR="00BE62A0" w:rsidRDefault="00FF3137" w:rsidP="00BE62A0">
      <w:pPr>
        <w:pStyle w:val="DefaultText"/>
      </w:pPr>
      <w:r w:rsidRPr="00311EEE">
        <w:t>T</w:t>
      </w:r>
      <w:r w:rsidR="00E023E3" w:rsidRPr="00311EEE">
        <w:t xml:space="preserve">he following </w:t>
      </w:r>
      <w:r w:rsidR="007F640F" w:rsidRPr="00311EEE">
        <w:t>represent the</w:t>
      </w:r>
      <w:r w:rsidR="006C3098">
        <w:t xml:space="preserve"> proposed</w:t>
      </w:r>
      <w:r w:rsidR="007F640F" w:rsidRPr="00311EEE">
        <w:t xml:space="preserve"> changes to the rule and the rationale</w:t>
      </w:r>
      <w:r w:rsidR="002B0C91" w:rsidRPr="00311EEE">
        <w:t xml:space="preserve"> for these chan</w:t>
      </w:r>
      <w:r w:rsidR="00BE62A0">
        <w:t xml:space="preserve">ges: </w:t>
      </w:r>
    </w:p>
    <w:p w14:paraId="2EC795F8" w14:textId="77777777" w:rsidR="00BE62A0" w:rsidRPr="00BE62A0" w:rsidRDefault="00BE62A0" w:rsidP="00BE62A0">
      <w:pPr>
        <w:pStyle w:val="ListParagraph"/>
        <w:numPr>
          <w:ilvl w:val="0"/>
          <w:numId w:val="0"/>
        </w:numPr>
        <w:tabs>
          <w:tab w:val="clear" w:pos="900"/>
        </w:tabs>
        <w:spacing w:before="0"/>
        <w:ind w:left="720"/>
        <w:contextualSpacing w:val="0"/>
        <w:rPr>
          <w:rFonts w:ascii="Calibri" w:hAnsi="Calibri" w:cs="Arial"/>
          <w:b/>
          <w:color w:val="000000"/>
          <w:sz w:val="24"/>
          <w:szCs w:val="24"/>
        </w:rPr>
      </w:pPr>
    </w:p>
    <w:p w14:paraId="39D10683" w14:textId="77777777" w:rsidR="00BE62A0" w:rsidRPr="00BE62A0" w:rsidRDefault="00BE62A0" w:rsidP="00BE62A0">
      <w:pPr>
        <w:pStyle w:val="ListParagraph"/>
        <w:numPr>
          <w:ilvl w:val="0"/>
          <w:numId w:val="21"/>
        </w:numPr>
        <w:tabs>
          <w:tab w:val="clear" w:pos="900"/>
        </w:tabs>
        <w:spacing w:before="0"/>
        <w:contextualSpacing w:val="0"/>
        <w:rPr>
          <w:rFonts w:ascii="Calibri" w:hAnsi="Calibri" w:cs="Arial"/>
          <w:b/>
          <w:color w:val="000000"/>
          <w:sz w:val="24"/>
          <w:szCs w:val="24"/>
        </w:rPr>
      </w:pPr>
      <w:r w:rsidRPr="00BE62A0">
        <w:rPr>
          <w:rFonts w:ascii="Calibri" w:hAnsi="Calibri" w:cs="Arial"/>
          <w:b/>
          <w:bCs/>
          <w:color w:val="000000"/>
          <w:sz w:val="24"/>
          <w:szCs w:val="24"/>
        </w:rPr>
        <w:t>General submission requirements</w:t>
      </w:r>
    </w:p>
    <w:p w14:paraId="22F3AB01" w14:textId="77777777" w:rsidR="00BE62A0" w:rsidRPr="00BE62A0" w:rsidRDefault="00BE62A0" w:rsidP="00BE62A0">
      <w:pPr>
        <w:pStyle w:val="ListParagraph"/>
        <w:numPr>
          <w:ilvl w:val="0"/>
          <w:numId w:val="0"/>
        </w:numPr>
        <w:ind w:left="900"/>
        <w:rPr>
          <w:rFonts w:ascii="Calibri" w:hAnsi="Calibri" w:cs="Arial"/>
          <w:b/>
          <w:color w:val="000000"/>
          <w:sz w:val="24"/>
          <w:szCs w:val="24"/>
        </w:rPr>
      </w:pPr>
    </w:p>
    <w:p w14:paraId="78F40FEA" w14:textId="77777777" w:rsidR="00BE62A0" w:rsidRDefault="00BE62A0" w:rsidP="00BE62A0">
      <w:pPr>
        <w:pStyle w:val="ListParagraph"/>
        <w:numPr>
          <w:ilvl w:val="0"/>
          <w:numId w:val="0"/>
        </w:numPr>
        <w:ind w:left="1440"/>
        <w:rPr>
          <w:rFonts w:ascii="Calibri" w:hAnsi="Calibri" w:cs="Arial"/>
          <w:color w:val="000000"/>
          <w:sz w:val="24"/>
          <w:szCs w:val="24"/>
        </w:rPr>
      </w:pPr>
      <w:r w:rsidRPr="00BE62A0">
        <w:rPr>
          <w:rFonts w:ascii="Calibri" w:hAnsi="Calibri" w:cs="Arial"/>
          <w:color w:val="000000"/>
          <w:sz w:val="24"/>
          <w:szCs w:val="24"/>
        </w:rPr>
        <w:t>Non-substantive changes</w:t>
      </w:r>
      <w:r w:rsidR="00B61D82">
        <w:rPr>
          <w:rFonts w:ascii="Calibri" w:hAnsi="Calibri" w:cs="Arial"/>
          <w:color w:val="000000"/>
          <w:sz w:val="24"/>
          <w:szCs w:val="24"/>
        </w:rPr>
        <w:t>:</w:t>
      </w:r>
    </w:p>
    <w:p w14:paraId="461379F2" w14:textId="77777777" w:rsidR="00B61D82" w:rsidRDefault="00B61D82" w:rsidP="00B61D82">
      <w:pPr>
        <w:pStyle w:val="ListParagraph"/>
        <w:numPr>
          <w:ilvl w:val="0"/>
          <w:numId w:val="22"/>
        </w:numPr>
        <w:rPr>
          <w:rFonts w:ascii="Calibri" w:hAnsi="Calibri" w:cs="Arial"/>
          <w:color w:val="000000"/>
          <w:sz w:val="24"/>
          <w:szCs w:val="24"/>
        </w:rPr>
      </w:pPr>
      <w:r>
        <w:rPr>
          <w:rFonts w:ascii="Calibri" w:hAnsi="Calibri" w:cs="Arial"/>
          <w:color w:val="000000"/>
          <w:sz w:val="24"/>
          <w:szCs w:val="24"/>
        </w:rPr>
        <w:t>Section 1, pages 1-3</w:t>
      </w:r>
    </w:p>
    <w:p w14:paraId="743A0F27" w14:textId="77777777" w:rsidR="00B61D82" w:rsidRDefault="00B61D82" w:rsidP="00B61D82">
      <w:pPr>
        <w:pStyle w:val="ListParagraph"/>
        <w:numPr>
          <w:ilvl w:val="0"/>
          <w:numId w:val="22"/>
        </w:numPr>
        <w:rPr>
          <w:rFonts w:ascii="Calibri" w:hAnsi="Calibri" w:cs="Arial"/>
          <w:color w:val="000000"/>
          <w:sz w:val="24"/>
          <w:szCs w:val="24"/>
        </w:rPr>
      </w:pPr>
      <w:r>
        <w:rPr>
          <w:rFonts w:ascii="Calibri" w:hAnsi="Calibri" w:cs="Arial"/>
          <w:color w:val="000000"/>
          <w:sz w:val="24"/>
          <w:szCs w:val="24"/>
        </w:rPr>
        <w:t>Section 2, page 4</w:t>
      </w:r>
    </w:p>
    <w:p w14:paraId="72644DFD" w14:textId="77777777" w:rsidR="00B61D82" w:rsidRDefault="00B61D82" w:rsidP="00B61D82">
      <w:pPr>
        <w:pStyle w:val="ListParagraph"/>
        <w:numPr>
          <w:ilvl w:val="0"/>
          <w:numId w:val="22"/>
        </w:numPr>
        <w:rPr>
          <w:rFonts w:ascii="Calibri" w:hAnsi="Calibri" w:cs="Arial"/>
          <w:color w:val="000000"/>
          <w:sz w:val="24"/>
          <w:szCs w:val="24"/>
        </w:rPr>
      </w:pPr>
      <w:r>
        <w:rPr>
          <w:rFonts w:ascii="Calibri" w:hAnsi="Calibri" w:cs="Arial"/>
          <w:color w:val="000000"/>
          <w:sz w:val="24"/>
          <w:szCs w:val="24"/>
        </w:rPr>
        <w:t>Section 6, page 9</w:t>
      </w:r>
    </w:p>
    <w:p w14:paraId="0D10E8CF" w14:textId="77777777" w:rsidR="00B61D82" w:rsidRDefault="00B61D82" w:rsidP="00B61D82">
      <w:pPr>
        <w:pStyle w:val="ListParagraph"/>
        <w:numPr>
          <w:ilvl w:val="0"/>
          <w:numId w:val="22"/>
        </w:numPr>
        <w:rPr>
          <w:rFonts w:ascii="Calibri" w:hAnsi="Calibri" w:cs="Arial"/>
          <w:color w:val="000000"/>
          <w:sz w:val="24"/>
          <w:szCs w:val="24"/>
        </w:rPr>
      </w:pPr>
      <w:r>
        <w:rPr>
          <w:rFonts w:ascii="Calibri" w:hAnsi="Calibri" w:cs="Arial"/>
          <w:color w:val="000000"/>
          <w:sz w:val="24"/>
          <w:szCs w:val="24"/>
        </w:rPr>
        <w:t>Section 8, page 9</w:t>
      </w:r>
    </w:p>
    <w:p w14:paraId="5CC01774" w14:textId="77777777" w:rsidR="00BE62A0" w:rsidRPr="00BE62A0" w:rsidRDefault="00BE62A0" w:rsidP="00BE62A0">
      <w:pPr>
        <w:pStyle w:val="ListParagraph"/>
        <w:numPr>
          <w:ilvl w:val="0"/>
          <w:numId w:val="0"/>
        </w:numPr>
        <w:ind w:left="1440"/>
        <w:rPr>
          <w:rFonts w:ascii="Calibri" w:hAnsi="Calibri" w:cs="Arial"/>
          <w:color w:val="000000"/>
          <w:sz w:val="24"/>
          <w:szCs w:val="24"/>
        </w:rPr>
      </w:pPr>
    </w:p>
    <w:p w14:paraId="50509734" w14:textId="77777777" w:rsidR="00BE62A0" w:rsidRDefault="00BE62A0" w:rsidP="00BE62A0">
      <w:pPr>
        <w:pStyle w:val="ListParagraph"/>
        <w:numPr>
          <w:ilvl w:val="0"/>
          <w:numId w:val="21"/>
        </w:numPr>
        <w:tabs>
          <w:tab w:val="clear" w:pos="900"/>
        </w:tabs>
        <w:spacing w:before="0"/>
        <w:contextualSpacing w:val="0"/>
        <w:rPr>
          <w:rFonts w:ascii="Calibri" w:hAnsi="Calibri" w:cs="Arial"/>
          <w:b/>
          <w:color w:val="000000"/>
          <w:sz w:val="24"/>
          <w:szCs w:val="24"/>
        </w:rPr>
      </w:pPr>
      <w:r w:rsidRPr="00BE62A0">
        <w:rPr>
          <w:rFonts w:ascii="Calibri" w:hAnsi="Calibri" w:cs="Arial"/>
          <w:b/>
          <w:color w:val="000000"/>
          <w:sz w:val="24"/>
          <w:szCs w:val="24"/>
        </w:rPr>
        <w:t>Appendices</w:t>
      </w:r>
    </w:p>
    <w:p w14:paraId="3EC58C78" w14:textId="77777777" w:rsidR="00BE62A0" w:rsidRPr="00BE62A0" w:rsidRDefault="00BE62A0" w:rsidP="00BE62A0">
      <w:pPr>
        <w:pStyle w:val="ListParagraph"/>
        <w:numPr>
          <w:ilvl w:val="0"/>
          <w:numId w:val="0"/>
        </w:numPr>
        <w:tabs>
          <w:tab w:val="clear" w:pos="900"/>
        </w:tabs>
        <w:spacing w:before="0"/>
        <w:ind w:left="720"/>
        <w:contextualSpacing w:val="0"/>
        <w:rPr>
          <w:rFonts w:ascii="Calibri" w:hAnsi="Calibri" w:cs="Arial"/>
          <w:b/>
          <w:color w:val="000000"/>
          <w:sz w:val="24"/>
          <w:szCs w:val="24"/>
        </w:rPr>
      </w:pPr>
    </w:p>
    <w:p w14:paraId="3BAAA49F" w14:textId="61968E7F" w:rsidR="00BE62A0" w:rsidRPr="00B61D82" w:rsidRDefault="00BE62A0" w:rsidP="00BE62A0">
      <w:pPr>
        <w:pStyle w:val="ListParagraph"/>
        <w:numPr>
          <w:ilvl w:val="1"/>
          <w:numId w:val="21"/>
        </w:numPr>
        <w:tabs>
          <w:tab w:val="clear" w:pos="900"/>
        </w:tabs>
        <w:spacing w:before="0"/>
        <w:contextualSpacing w:val="0"/>
        <w:rPr>
          <w:rFonts w:ascii="Calibri" w:hAnsi="Calibri" w:cs="Arial"/>
          <w:b/>
          <w:color w:val="000000"/>
          <w:sz w:val="24"/>
          <w:szCs w:val="24"/>
        </w:rPr>
      </w:pPr>
      <w:r w:rsidRPr="00BE62A0">
        <w:rPr>
          <w:rFonts w:ascii="Calibri" w:hAnsi="Calibri" w:cs="Arial"/>
          <w:color w:val="000000"/>
          <w:sz w:val="24"/>
          <w:szCs w:val="24"/>
        </w:rPr>
        <w:t>Plan Begin Date</w:t>
      </w:r>
      <w:r w:rsidR="00B47A14">
        <w:rPr>
          <w:rFonts w:ascii="Calibri" w:hAnsi="Calibri" w:cs="Arial"/>
          <w:color w:val="000000"/>
          <w:sz w:val="24"/>
          <w:szCs w:val="24"/>
        </w:rPr>
        <w:t xml:space="preserve"> (Member Effective Date-</w:t>
      </w:r>
      <w:r w:rsidRPr="00BE62A0">
        <w:rPr>
          <w:rFonts w:ascii="Calibri" w:hAnsi="Calibri" w:cs="Arial"/>
          <w:color w:val="000000"/>
          <w:sz w:val="24"/>
          <w:szCs w:val="24"/>
        </w:rPr>
        <w:t>ME114) and Plan End Date (</w:t>
      </w:r>
      <w:r w:rsidR="00B47A14">
        <w:rPr>
          <w:rFonts w:ascii="Calibri" w:hAnsi="Calibri" w:cs="Arial"/>
          <w:color w:val="000000"/>
          <w:sz w:val="24"/>
          <w:szCs w:val="24"/>
        </w:rPr>
        <w:t>Member Cancellation Date-</w:t>
      </w:r>
      <w:r w:rsidRPr="00BE62A0">
        <w:rPr>
          <w:rFonts w:ascii="Calibri" w:hAnsi="Calibri" w:cs="Arial"/>
          <w:color w:val="000000"/>
          <w:sz w:val="24"/>
          <w:szCs w:val="24"/>
        </w:rPr>
        <w:t>ME115) fields</w:t>
      </w:r>
      <w:r w:rsidR="00FD41CF">
        <w:rPr>
          <w:rFonts w:ascii="Calibri" w:hAnsi="Calibri" w:cs="Arial"/>
          <w:color w:val="000000"/>
          <w:sz w:val="24"/>
          <w:szCs w:val="24"/>
        </w:rPr>
        <w:t xml:space="preserve"> have been</w:t>
      </w:r>
      <w:r w:rsidRPr="00BE62A0">
        <w:rPr>
          <w:rFonts w:ascii="Calibri" w:hAnsi="Calibri" w:cs="Arial"/>
          <w:color w:val="000000"/>
          <w:sz w:val="24"/>
          <w:szCs w:val="24"/>
        </w:rPr>
        <w:t xml:space="preserve"> added. (</w:t>
      </w:r>
      <w:r w:rsidR="00B61D82">
        <w:rPr>
          <w:rFonts w:ascii="Calibri" w:hAnsi="Calibri" w:cs="Arial"/>
          <w:color w:val="000000"/>
          <w:sz w:val="24"/>
          <w:szCs w:val="24"/>
        </w:rPr>
        <w:t xml:space="preserve">Appendix C-1, </w:t>
      </w:r>
      <w:r w:rsidRPr="00BE62A0">
        <w:rPr>
          <w:rFonts w:ascii="Calibri" w:hAnsi="Calibri" w:cs="Arial"/>
          <w:color w:val="000000"/>
          <w:sz w:val="24"/>
          <w:szCs w:val="24"/>
        </w:rPr>
        <w:t>page 24</w:t>
      </w:r>
      <w:r w:rsidR="00B61D82">
        <w:rPr>
          <w:rFonts w:ascii="Calibri" w:hAnsi="Calibri" w:cs="Arial"/>
          <w:color w:val="000000"/>
          <w:sz w:val="24"/>
          <w:szCs w:val="24"/>
        </w:rPr>
        <w:t xml:space="preserve">; Appendix C-2, page </w:t>
      </w:r>
      <w:r w:rsidRPr="00BE62A0">
        <w:rPr>
          <w:rFonts w:ascii="Calibri" w:hAnsi="Calibri" w:cs="Arial"/>
          <w:color w:val="000000"/>
          <w:sz w:val="24"/>
          <w:szCs w:val="24"/>
        </w:rPr>
        <w:t>26)</w:t>
      </w:r>
    </w:p>
    <w:p w14:paraId="1C7A371D" w14:textId="6655086F" w:rsidR="00B61D82" w:rsidRPr="00561893" w:rsidRDefault="00561893" w:rsidP="00B61D82">
      <w:pPr>
        <w:pStyle w:val="ListParagraph"/>
        <w:numPr>
          <w:ilvl w:val="0"/>
          <w:numId w:val="0"/>
        </w:numPr>
        <w:tabs>
          <w:tab w:val="clear" w:pos="900"/>
        </w:tabs>
        <w:spacing w:before="0"/>
        <w:ind w:left="1440"/>
        <w:contextualSpacing w:val="0"/>
        <w:rPr>
          <w:rFonts w:ascii="Calibri" w:hAnsi="Calibri" w:cs="Arial"/>
          <w:i/>
          <w:color w:val="000000"/>
          <w:sz w:val="24"/>
          <w:szCs w:val="24"/>
        </w:rPr>
      </w:pPr>
      <w:r w:rsidRPr="00561893">
        <w:rPr>
          <w:rFonts w:ascii="Calibri" w:hAnsi="Calibri" w:cs="Arial"/>
          <w:b/>
          <w:i/>
          <w:color w:val="000000"/>
          <w:sz w:val="24"/>
          <w:szCs w:val="24"/>
        </w:rPr>
        <w:t>Note:</w:t>
      </w:r>
      <w:r w:rsidRPr="00561893">
        <w:rPr>
          <w:rFonts w:ascii="Calibri" w:hAnsi="Calibri" w:cs="Arial"/>
          <w:i/>
          <w:color w:val="000000"/>
          <w:sz w:val="24"/>
          <w:szCs w:val="24"/>
        </w:rPr>
        <w:t xml:space="preserve"> MHDO has added the commonly used terms for Plan Begin Date and Plan End Date to clarify this addition to the rule.</w:t>
      </w:r>
    </w:p>
    <w:p w14:paraId="17A114BA" w14:textId="77777777" w:rsidR="00FD41CF" w:rsidRPr="00A22FAA" w:rsidRDefault="00FD41CF" w:rsidP="00A22FAA">
      <w:pPr>
        <w:ind w:left="1440"/>
        <w:rPr>
          <w:sz w:val="24"/>
          <w:szCs w:val="24"/>
        </w:rPr>
      </w:pPr>
      <w:r w:rsidRPr="00A22FAA">
        <w:rPr>
          <w:sz w:val="24"/>
          <w:szCs w:val="24"/>
        </w:rPr>
        <w:t xml:space="preserve">There are two situations where the data </w:t>
      </w:r>
      <w:r w:rsidR="00F05CBE" w:rsidRPr="00A22FAA">
        <w:rPr>
          <w:sz w:val="24"/>
          <w:szCs w:val="24"/>
        </w:rPr>
        <w:t>MHDO</w:t>
      </w:r>
      <w:r w:rsidRPr="00A22FAA">
        <w:rPr>
          <w:sz w:val="24"/>
          <w:szCs w:val="24"/>
        </w:rPr>
        <w:t xml:space="preserve"> currently collect</w:t>
      </w:r>
      <w:r w:rsidR="00F05CBE" w:rsidRPr="00A22FAA">
        <w:rPr>
          <w:sz w:val="24"/>
          <w:szCs w:val="24"/>
        </w:rPr>
        <w:t xml:space="preserve">s from payers </w:t>
      </w:r>
      <w:r w:rsidR="003E68A6" w:rsidRPr="00A22FAA">
        <w:rPr>
          <w:sz w:val="24"/>
          <w:szCs w:val="24"/>
        </w:rPr>
        <w:t>to</w:t>
      </w:r>
      <w:r w:rsidR="00F05CBE" w:rsidRPr="00A22FAA">
        <w:rPr>
          <w:sz w:val="24"/>
          <w:szCs w:val="24"/>
        </w:rPr>
        <w:t xml:space="preserve"> calculate </w:t>
      </w:r>
      <w:r w:rsidRPr="00A22FAA">
        <w:rPr>
          <w:sz w:val="24"/>
          <w:szCs w:val="24"/>
        </w:rPr>
        <w:t>member months can fall short:</w:t>
      </w:r>
    </w:p>
    <w:p w14:paraId="19A4D819" w14:textId="77777777" w:rsidR="003E68A6" w:rsidRPr="00A22FAA" w:rsidRDefault="003E68A6" w:rsidP="00A22FAA">
      <w:pPr>
        <w:ind w:left="720"/>
        <w:rPr>
          <w:rFonts w:ascii="Calibri" w:hAnsi="Calibri"/>
          <w:sz w:val="24"/>
          <w:szCs w:val="24"/>
        </w:rPr>
      </w:pPr>
    </w:p>
    <w:p w14:paraId="6402F738" w14:textId="07F72E9E" w:rsidR="00FD41CF" w:rsidRPr="00A22FAA" w:rsidRDefault="00B7541D" w:rsidP="00FD41CF">
      <w:pPr>
        <w:numPr>
          <w:ilvl w:val="0"/>
          <w:numId w:val="25"/>
        </w:numPr>
        <w:spacing w:before="0"/>
        <w:rPr>
          <w:sz w:val="24"/>
          <w:szCs w:val="24"/>
        </w:rPr>
      </w:pPr>
      <w:r>
        <w:rPr>
          <w:sz w:val="24"/>
          <w:szCs w:val="24"/>
        </w:rPr>
        <w:lastRenderedPageBreak/>
        <w:t>Payer submissions</w:t>
      </w:r>
      <w:r w:rsidR="00FD41CF" w:rsidRPr="00A22FAA">
        <w:rPr>
          <w:sz w:val="24"/>
          <w:szCs w:val="24"/>
        </w:rPr>
        <w:t xml:space="preserve"> </w:t>
      </w:r>
      <w:r>
        <w:rPr>
          <w:sz w:val="24"/>
          <w:szCs w:val="24"/>
        </w:rPr>
        <w:t>exhibit slight fluctuations above and below</w:t>
      </w:r>
      <w:r w:rsidR="00FD41CF" w:rsidRPr="00A22FAA">
        <w:rPr>
          <w:sz w:val="24"/>
          <w:szCs w:val="24"/>
        </w:rPr>
        <w:t xml:space="preserve"> the reporting thresholds over several years. In this scenario</w:t>
      </w:r>
      <w:r>
        <w:rPr>
          <w:sz w:val="24"/>
          <w:szCs w:val="24"/>
        </w:rPr>
        <w:t>,</w:t>
      </w:r>
      <w:r w:rsidR="00FD41CF" w:rsidRPr="00A22FAA">
        <w:rPr>
          <w:sz w:val="24"/>
          <w:szCs w:val="24"/>
        </w:rPr>
        <w:t xml:space="preserve"> </w:t>
      </w:r>
      <w:r>
        <w:rPr>
          <w:sz w:val="24"/>
          <w:szCs w:val="24"/>
        </w:rPr>
        <w:t>a payer</w:t>
      </w:r>
      <w:r w:rsidR="00FD41CF" w:rsidRPr="00A22FAA">
        <w:rPr>
          <w:sz w:val="24"/>
          <w:szCs w:val="24"/>
        </w:rPr>
        <w:t xml:space="preserve"> may submit data for several years, stop, and begin submitting again. With the existing data layout and member month calculations it may appear a member's coverage has been discontinued rather than not reported to the MHDO.</w:t>
      </w:r>
    </w:p>
    <w:p w14:paraId="60D30BC3" w14:textId="77777777" w:rsidR="003E68A6" w:rsidRPr="003D5832" w:rsidRDefault="003E68A6" w:rsidP="003D5832">
      <w:pPr>
        <w:pStyle w:val="ListParagraph"/>
        <w:numPr>
          <w:ilvl w:val="0"/>
          <w:numId w:val="0"/>
        </w:numPr>
        <w:spacing w:before="0"/>
        <w:ind w:left="720"/>
        <w:rPr>
          <w:sz w:val="24"/>
          <w:szCs w:val="24"/>
        </w:rPr>
      </w:pPr>
    </w:p>
    <w:p w14:paraId="46B97AA9" w14:textId="6CA61532" w:rsidR="00FD41CF" w:rsidRPr="00A22FAA" w:rsidRDefault="00FD41CF" w:rsidP="00A22FAA">
      <w:pPr>
        <w:pStyle w:val="ListParagraph"/>
        <w:numPr>
          <w:ilvl w:val="0"/>
          <w:numId w:val="25"/>
        </w:numPr>
        <w:spacing w:before="0"/>
        <w:rPr>
          <w:sz w:val="24"/>
          <w:szCs w:val="24"/>
        </w:rPr>
      </w:pPr>
      <w:r w:rsidRPr="003D5832">
        <w:rPr>
          <w:sz w:val="24"/>
          <w:szCs w:val="24"/>
        </w:rPr>
        <w:t xml:space="preserve">A submitting entity/payer has an issue with their internal processes to prepare data for submission resulting in some members not being reported for a given time. </w:t>
      </w:r>
      <w:r w:rsidR="003E68A6" w:rsidRPr="003D5832">
        <w:rPr>
          <w:sz w:val="24"/>
          <w:szCs w:val="24"/>
        </w:rPr>
        <w:t>With the</w:t>
      </w:r>
      <w:r w:rsidRPr="003D5832">
        <w:rPr>
          <w:sz w:val="24"/>
          <w:szCs w:val="24"/>
        </w:rPr>
        <w:t xml:space="preserve"> existing data layout and member month calculations it may appear a member's coverage has been discontinued rather than not reported to the MHDO. </w:t>
      </w:r>
    </w:p>
    <w:p w14:paraId="54A383CE" w14:textId="0CCCD7DC" w:rsidR="00BE62A0" w:rsidRDefault="00FD41CF" w:rsidP="00A22FAA">
      <w:pPr>
        <w:ind w:left="1440"/>
        <w:rPr>
          <w:rFonts w:ascii="Calibri" w:hAnsi="Calibri" w:cs="Arial"/>
          <w:color w:val="000000"/>
          <w:sz w:val="24"/>
          <w:szCs w:val="24"/>
        </w:rPr>
      </w:pPr>
      <w:r w:rsidRPr="00A22FAA">
        <w:rPr>
          <w:sz w:val="24"/>
          <w:szCs w:val="24"/>
        </w:rPr>
        <w:t xml:space="preserve">The addition of the Plan </w:t>
      </w:r>
      <w:r w:rsidR="00500C17">
        <w:rPr>
          <w:sz w:val="24"/>
          <w:szCs w:val="24"/>
        </w:rPr>
        <w:t xml:space="preserve">Begin </w:t>
      </w:r>
      <w:r w:rsidRPr="00A22FAA">
        <w:rPr>
          <w:sz w:val="24"/>
          <w:szCs w:val="24"/>
        </w:rPr>
        <w:t>Date</w:t>
      </w:r>
      <w:r w:rsidR="00561893">
        <w:rPr>
          <w:sz w:val="24"/>
          <w:szCs w:val="24"/>
        </w:rPr>
        <w:t xml:space="preserve"> (Member Effective Date)</w:t>
      </w:r>
      <w:r w:rsidRPr="00A22FAA">
        <w:rPr>
          <w:sz w:val="24"/>
          <w:szCs w:val="24"/>
        </w:rPr>
        <w:t xml:space="preserve"> and Plan </w:t>
      </w:r>
      <w:r w:rsidR="00500C17">
        <w:rPr>
          <w:sz w:val="24"/>
          <w:szCs w:val="24"/>
        </w:rPr>
        <w:t>End</w:t>
      </w:r>
      <w:r w:rsidRPr="00A22FAA">
        <w:rPr>
          <w:sz w:val="24"/>
          <w:szCs w:val="24"/>
        </w:rPr>
        <w:t xml:space="preserve"> Date</w:t>
      </w:r>
      <w:r w:rsidR="00561893">
        <w:rPr>
          <w:sz w:val="24"/>
          <w:szCs w:val="24"/>
        </w:rPr>
        <w:t xml:space="preserve"> (Member Cancellation Date) </w:t>
      </w:r>
      <w:r w:rsidRPr="00A22FAA">
        <w:rPr>
          <w:sz w:val="24"/>
          <w:szCs w:val="24"/>
        </w:rPr>
        <w:t xml:space="preserve">fields </w:t>
      </w:r>
      <w:r w:rsidR="003E68A6" w:rsidRPr="00A22FAA">
        <w:rPr>
          <w:sz w:val="24"/>
          <w:szCs w:val="24"/>
        </w:rPr>
        <w:t>will allow</w:t>
      </w:r>
      <w:r w:rsidRPr="00A22FAA">
        <w:rPr>
          <w:sz w:val="24"/>
          <w:szCs w:val="24"/>
        </w:rPr>
        <w:t xml:space="preserve"> </w:t>
      </w:r>
      <w:r w:rsidR="003E68A6" w:rsidRPr="00A22FAA">
        <w:rPr>
          <w:sz w:val="24"/>
          <w:szCs w:val="24"/>
        </w:rPr>
        <w:t>MHDO</w:t>
      </w:r>
      <w:r w:rsidRPr="00A22FAA">
        <w:rPr>
          <w:sz w:val="24"/>
          <w:szCs w:val="24"/>
        </w:rPr>
        <w:t xml:space="preserve"> to perform </w:t>
      </w:r>
      <w:r w:rsidR="003E68A6" w:rsidRPr="00A22FAA">
        <w:rPr>
          <w:sz w:val="24"/>
          <w:szCs w:val="24"/>
        </w:rPr>
        <w:t>necessary</w:t>
      </w:r>
      <w:r w:rsidRPr="00A22FAA">
        <w:rPr>
          <w:sz w:val="24"/>
          <w:szCs w:val="24"/>
        </w:rPr>
        <w:t xml:space="preserve"> data quality checks </w:t>
      </w:r>
      <w:r w:rsidR="003E68A6" w:rsidRPr="00A22FAA">
        <w:rPr>
          <w:sz w:val="24"/>
          <w:szCs w:val="24"/>
        </w:rPr>
        <w:t xml:space="preserve">to ensure the accuracy of the various analyses involving member month calculations.  </w:t>
      </w:r>
      <w:r w:rsidR="00500C17">
        <w:rPr>
          <w:sz w:val="24"/>
          <w:szCs w:val="24"/>
        </w:rPr>
        <w:t xml:space="preserve"> </w:t>
      </w:r>
    </w:p>
    <w:p w14:paraId="20044A95" w14:textId="77777777" w:rsidR="003D5832" w:rsidRPr="003D5832" w:rsidRDefault="003D5832" w:rsidP="00A22FAA">
      <w:pPr>
        <w:rPr>
          <w:rFonts w:ascii="Calibri" w:hAnsi="Calibri" w:cs="Arial"/>
          <w:b/>
          <w:color w:val="000000"/>
          <w:sz w:val="24"/>
          <w:szCs w:val="24"/>
        </w:rPr>
      </w:pPr>
    </w:p>
    <w:p w14:paraId="5FADFA50" w14:textId="77777777" w:rsidR="00BE62A0" w:rsidRDefault="00BE62A0" w:rsidP="00BE62A0">
      <w:pPr>
        <w:pStyle w:val="ListParagraph"/>
        <w:numPr>
          <w:ilvl w:val="1"/>
          <w:numId w:val="21"/>
        </w:numPr>
        <w:tabs>
          <w:tab w:val="clear" w:pos="900"/>
        </w:tabs>
        <w:spacing w:before="0"/>
        <w:contextualSpacing w:val="0"/>
        <w:rPr>
          <w:rFonts w:ascii="Calibri" w:hAnsi="Calibri" w:cs="Arial"/>
          <w:color w:val="000000"/>
          <w:sz w:val="24"/>
          <w:szCs w:val="24"/>
        </w:rPr>
      </w:pPr>
      <w:r w:rsidRPr="00BE62A0">
        <w:rPr>
          <w:rFonts w:ascii="Calibri" w:hAnsi="Calibri" w:cs="Arial"/>
          <w:color w:val="000000"/>
          <w:sz w:val="24"/>
          <w:szCs w:val="24"/>
        </w:rPr>
        <w:t>Type of Bill (MC036) field length increased. (</w:t>
      </w:r>
      <w:r w:rsidR="0069758D">
        <w:rPr>
          <w:rFonts w:ascii="Calibri" w:hAnsi="Calibri" w:cs="Arial"/>
          <w:color w:val="000000"/>
          <w:sz w:val="24"/>
          <w:szCs w:val="24"/>
        </w:rPr>
        <w:t xml:space="preserve">Appendix D-1; </w:t>
      </w:r>
      <w:r w:rsidRPr="00BE62A0">
        <w:rPr>
          <w:rFonts w:ascii="Calibri" w:hAnsi="Calibri" w:cs="Arial"/>
          <w:color w:val="000000"/>
          <w:sz w:val="24"/>
          <w:szCs w:val="24"/>
        </w:rPr>
        <w:t>page 30)</w:t>
      </w:r>
    </w:p>
    <w:p w14:paraId="3068B424" w14:textId="77777777" w:rsidR="00BF77AD" w:rsidRDefault="00BF77AD" w:rsidP="00BF77AD">
      <w:pPr>
        <w:pStyle w:val="ListParagraph"/>
        <w:numPr>
          <w:ilvl w:val="0"/>
          <w:numId w:val="0"/>
        </w:numPr>
        <w:tabs>
          <w:tab w:val="clear" w:pos="900"/>
        </w:tabs>
        <w:spacing w:before="0"/>
        <w:ind w:left="1440"/>
        <w:contextualSpacing w:val="0"/>
        <w:rPr>
          <w:rFonts w:ascii="Calibri" w:hAnsi="Calibri" w:cs="Arial"/>
          <w:color w:val="000000"/>
          <w:sz w:val="24"/>
          <w:szCs w:val="24"/>
        </w:rPr>
      </w:pPr>
    </w:p>
    <w:p w14:paraId="3BD3A431" w14:textId="67B2A493" w:rsidR="001F6E46" w:rsidRDefault="0080378D" w:rsidP="00BF77AD">
      <w:pPr>
        <w:pStyle w:val="ListParagraph"/>
        <w:numPr>
          <w:ilvl w:val="0"/>
          <w:numId w:val="0"/>
        </w:numPr>
        <w:tabs>
          <w:tab w:val="clear" w:pos="900"/>
        </w:tabs>
        <w:spacing w:before="0"/>
        <w:ind w:left="1440"/>
        <w:contextualSpacing w:val="0"/>
        <w:rPr>
          <w:rFonts w:cs="Times"/>
          <w:color w:val="222222"/>
          <w:sz w:val="24"/>
          <w:szCs w:val="24"/>
          <w:shd w:val="clear" w:color="auto" w:fill="FFFFFF"/>
        </w:rPr>
      </w:pPr>
      <w:r w:rsidRPr="00A22FAA">
        <w:rPr>
          <w:rFonts w:cs="Times"/>
          <w:color w:val="222222"/>
          <w:sz w:val="24"/>
          <w:szCs w:val="24"/>
          <w:shd w:val="clear" w:color="auto" w:fill="FFFFFF"/>
        </w:rPr>
        <w:t>Type of bill codes are three-digit codes</w:t>
      </w:r>
      <w:r w:rsidR="00500C17">
        <w:rPr>
          <w:rFonts w:cs="Times"/>
          <w:color w:val="222222"/>
          <w:sz w:val="24"/>
          <w:szCs w:val="24"/>
          <w:shd w:val="clear" w:color="auto" w:fill="FFFFFF"/>
        </w:rPr>
        <w:t xml:space="preserve"> (not counting lead zero)</w:t>
      </w:r>
      <w:r w:rsidRPr="00A22FAA">
        <w:rPr>
          <w:rFonts w:cs="Times"/>
          <w:color w:val="222222"/>
          <w:sz w:val="24"/>
          <w:szCs w:val="24"/>
          <w:shd w:val="clear" w:color="auto" w:fill="FFFFFF"/>
        </w:rPr>
        <w:t xml:space="preserve"> located on the UB-04 claim form that describe</w:t>
      </w:r>
      <w:r>
        <w:rPr>
          <w:rFonts w:cs="Times"/>
          <w:color w:val="222222"/>
          <w:sz w:val="24"/>
          <w:szCs w:val="24"/>
          <w:shd w:val="clear" w:color="auto" w:fill="FFFFFF"/>
        </w:rPr>
        <w:t>s</w:t>
      </w:r>
      <w:r w:rsidRPr="00A22FAA">
        <w:rPr>
          <w:rFonts w:cs="Times"/>
          <w:color w:val="222222"/>
          <w:sz w:val="24"/>
          <w:szCs w:val="24"/>
          <w:shd w:val="clear" w:color="auto" w:fill="FFFFFF"/>
        </w:rPr>
        <w:t xml:space="preserve"> the type of bill a provider is </w:t>
      </w:r>
      <w:r>
        <w:rPr>
          <w:rFonts w:cs="Times"/>
          <w:color w:val="222222"/>
          <w:sz w:val="24"/>
          <w:szCs w:val="24"/>
          <w:shd w:val="clear" w:color="auto" w:fill="FFFFFF"/>
        </w:rPr>
        <w:t>submitting</w:t>
      </w:r>
      <w:r w:rsidRPr="0080378D">
        <w:rPr>
          <w:rFonts w:cs="Times"/>
          <w:color w:val="222222"/>
          <w:sz w:val="24"/>
          <w:szCs w:val="24"/>
          <w:shd w:val="clear" w:color="auto" w:fill="FFFFFF"/>
        </w:rPr>
        <w:t xml:space="preserve"> </w:t>
      </w:r>
      <w:r>
        <w:rPr>
          <w:rFonts w:cs="Times"/>
          <w:color w:val="222222"/>
          <w:sz w:val="24"/>
          <w:szCs w:val="24"/>
          <w:shd w:val="clear" w:color="auto" w:fill="FFFFFF"/>
        </w:rPr>
        <w:t xml:space="preserve">to a payer.  Currently MHDO collects </w:t>
      </w:r>
      <w:r w:rsidR="00500C17">
        <w:rPr>
          <w:rFonts w:cs="Times"/>
          <w:color w:val="222222"/>
          <w:sz w:val="24"/>
          <w:szCs w:val="24"/>
          <w:shd w:val="clear" w:color="auto" w:fill="FFFFFF"/>
        </w:rPr>
        <w:t>most of</w:t>
      </w:r>
      <w:r>
        <w:rPr>
          <w:rFonts w:cs="Times"/>
          <w:color w:val="222222"/>
          <w:sz w:val="24"/>
          <w:szCs w:val="24"/>
          <w:shd w:val="clear" w:color="auto" w:fill="FFFFFF"/>
        </w:rPr>
        <w:t xml:space="preserve"> the data specific to type of bill.   This change will allow space in the </w:t>
      </w:r>
      <w:r w:rsidR="00500C17">
        <w:rPr>
          <w:rFonts w:cs="Times"/>
          <w:color w:val="222222"/>
          <w:sz w:val="24"/>
          <w:szCs w:val="24"/>
          <w:shd w:val="clear" w:color="auto" w:fill="FFFFFF"/>
        </w:rPr>
        <w:t>field</w:t>
      </w:r>
      <w:r>
        <w:rPr>
          <w:rFonts w:cs="Times"/>
          <w:color w:val="222222"/>
          <w:sz w:val="24"/>
          <w:szCs w:val="24"/>
          <w:shd w:val="clear" w:color="auto" w:fill="FFFFFF"/>
        </w:rPr>
        <w:t xml:space="preserve"> for the payer to submit </w:t>
      </w:r>
      <w:r w:rsidR="00500C17">
        <w:rPr>
          <w:rFonts w:cs="Times"/>
          <w:color w:val="222222"/>
          <w:sz w:val="24"/>
          <w:szCs w:val="24"/>
          <w:shd w:val="clear" w:color="auto" w:fill="FFFFFF"/>
        </w:rPr>
        <w:t>the remaining information</w:t>
      </w:r>
      <w:r>
        <w:rPr>
          <w:rFonts w:cs="Times"/>
          <w:color w:val="222222"/>
          <w:sz w:val="24"/>
          <w:szCs w:val="24"/>
          <w:shd w:val="clear" w:color="auto" w:fill="FFFFFF"/>
        </w:rPr>
        <w:t xml:space="preserve"> associated with type of bill</w:t>
      </w:r>
      <w:r w:rsidR="00500C17">
        <w:rPr>
          <w:rFonts w:cs="Times"/>
          <w:color w:val="222222"/>
          <w:sz w:val="24"/>
          <w:szCs w:val="24"/>
          <w:shd w:val="clear" w:color="auto" w:fill="FFFFFF"/>
        </w:rPr>
        <w:t xml:space="preserve"> codes,</w:t>
      </w:r>
      <w:r>
        <w:rPr>
          <w:rFonts w:cs="Times"/>
          <w:color w:val="222222"/>
          <w:sz w:val="24"/>
          <w:szCs w:val="24"/>
          <w:shd w:val="clear" w:color="auto" w:fill="FFFFFF"/>
        </w:rPr>
        <w:t xml:space="preserve"> </w:t>
      </w:r>
      <w:r w:rsidR="00500C17">
        <w:rPr>
          <w:rFonts w:cs="Times"/>
          <w:color w:val="222222"/>
          <w:sz w:val="24"/>
          <w:szCs w:val="24"/>
          <w:shd w:val="clear" w:color="auto" w:fill="FFFFFF"/>
        </w:rPr>
        <w:t>namely</w:t>
      </w:r>
      <w:r>
        <w:rPr>
          <w:rFonts w:cs="Times"/>
          <w:color w:val="222222"/>
          <w:sz w:val="24"/>
          <w:szCs w:val="24"/>
          <w:shd w:val="clear" w:color="auto" w:fill="FFFFFF"/>
        </w:rPr>
        <w:t xml:space="preserve"> bill frequency.  This is important information for many users of the MHDO claims data as it will provide information</w:t>
      </w:r>
      <w:r w:rsidR="003B77DA">
        <w:rPr>
          <w:rFonts w:cs="Times"/>
          <w:color w:val="222222"/>
          <w:sz w:val="24"/>
          <w:szCs w:val="24"/>
          <w:shd w:val="clear" w:color="auto" w:fill="FFFFFF"/>
        </w:rPr>
        <w:t xml:space="preserve"> like the following</w:t>
      </w:r>
      <w:r w:rsidR="00A22FAA">
        <w:rPr>
          <w:rFonts w:cs="Times"/>
          <w:color w:val="222222"/>
          <w:sz w:val="24"/>
          <w:szCs w:val="24"/>
          <w:shd w:val="clear" w:color="auto" w:fill="FFFFFF"/>
        </w:rPr>
        <w:t>:</w:t>
      </w:r>
    </w:p>
    <w:p w14:paraId="414EC0D8" w14:textId="77777777" w:rsidR="0080378D" w:rsidRDefault="0080378D" w:rsidP="00BF77AD">
      <w:pPr>
        <w:pStyle w:val="ListParagraph"/>
        <w:numPr>
          <w:ilvl w:val="0"/>
          <w:numId w:val="0"/>
        </w:numPr>
        <w:tabs>
          <w:tab w:val="clear" w:pos="900"/>
        </w:tabs>
        <w:spacing w:before="0"/>
        <w:ind w:left="1440"/>
        <w:contextualSpacing w:val="0"/>
        <w:rPr>
          <w:rFonts w:cs="Times"/>
          <w:color w:val="222222"/>
          <w:sz w:val="24"/>
          <w:szCs w:val="24"/>
          <w:shd w:val="clear" w:color="auto" w:fill="FFFFFF"/>
        </w:rPr>
      </w:pPr>
    </w:p>
    <w:p w14:paraId="0548FE88" w14:textId="77777777" w:rsidR="0080378D" w:rsidRPr="00A22FAA" w:rsidRDefault="0080378D" w:rsidP="00A22FAA">
      <w:pPr>
        <w:pStyle w:val="ListParagraph"/>
        <w:numPr>
          <w:ilvl w:val="0"/>
          <w:numId w:val="0"/>
        </w:numPr>
        <w:tabs>
          <w:tab w:val="clear" w:pos="900"/>
        </w:tabs>
        <w:spacing w:before="0"/>
        <w:ind w:left="2880"/>
        <w:contextualSpacing w:val="0"/>
        <w:rPr>
          <w:rFonts w:cs="Arial"/>
          <w:color w:val="000000"/>
          <w:sz w:val="22"/>
          <w:szCs w:val="22"/>
        </w:rPr>
      </w:pPr>
      <w:r w:rsidRPr="00A22FAA">
        <w:rPr>
          <w:rFonts w:cs="Times"/>
          <w:color w:val="222222"/>
          <w:sz w:val="22"/>
          <w:szCs w:val="22"/>
          <w:shd w:val="clear" w:color="auto" w:fill="FFFFFF"/>
        </w:rPr>
        <w:t>0 - Nonpayment or Zero Claims</w:t>
      </w:r>
      <w:r w:rsidRPr="00A22FAA">
        <w:rPr>
          <w:rFonts w:cs="Times"/>
          <w:color w:val="222222"/>
          <w:sz w:val="22"/>
          <w:szCs w:val="22"/>
        </w:rPr>
        <w:br/>
      </w:r>
      <w:r w:rsidRPr="00A22FAA">
        <w:rPr>
          <w:rFonts w:cs="Times"/>
          <w:color w:val="222222"/>
          <w:sz w:val="22"/>
          <w:szCs w:val="22"/>
          <w:shd w:val="clear" w:color="auto" w:fill="FFFFFF"/>
        </w:rPr>
        <w:t>1 - Admit Through Discharge Claim</w:t>
      </w:r>
      <w:r w:rsidRPr="00A22FAA">
        <w:rPr>
          <w:rFonts w:cs="Times"/>
          <w:color w:val="222222"/>
          <w:sz w:val="22"/>
          <w:szCs w:val="22"/>
        </w:rPr>
        <w:br/>
      </w:r>
      <w:r w:rsidRPr="00A22FAA">
        <w:rPr>
          <w:rFonts w:cs="Times"/>
          <w:color w:val="222222"/>
          <w:sz w:val="22"/>
          <w:szCs w:val="22"/>
          <w:shd w:val="clear" w:color="auto" w:fill="FFFFFF"/>
        </w:rPr>
        <w:t>2 - Interim (First Claim)</w:t>
      </w:r>
      <w:r w:rsidRPr="00A22FAA">
        <w:rPr>
          <w:rFonts w:cs="Times"/>
          <w:color w:val="222222"/>
          <w:sz w:val="22"/>
          <w:szCs w:val="22"/>
        </w:rPr>
        <w:br/>
      </w:r>
      <w:r w:rsidRPr="00A22FAA">
        <w:rPr>
          <w:rFonts w:cs="Times"/>
          <w:color w:val="222222"/>
          <w:sz w:val="22"/>
          <w:szCs w:val="22"/>
          <w:shd w:val="clear" w:color="auto" w:fill="FFFFFF"/>
        </w:rPr>
        <w:t>3 - Interim (Continuing Claims)</w:t>
      </w:r>
      <w:r w:rsidRPr="00A22FAA">
        <w:rPr>
          <w:rFonts w:cs="Times"/>
          <w:color w:val="222222"/>
          <w:sz w:val="22"/>
          <w:szCs w:val="22"/>
        </w:rPr>
        <w:br/>
      </w:r>
      <w:r w:rsidRPr="00A22FAA">
        <w:rPr>
          <w:rFonts w:cs="Times"/>
          <w:color w:val="222222"/>
          <w:sz w:val="22"/>
          <w:szCs w:val="22"/>
          <w:shd w:val="clear" w:color="auto" w:fill="FFFFFF"/>
        </w:rPr>
        <w:t>4 - Interim (Last Claim)</w:t>
      </w:r>
      <w:r w:rsidRPr="00A22FAA">
        <w:rPr>
          <w:rFonts w:cs="Times"/>
          <w:color w:val="222222"/>
          <w:sz w:val="22"/>
          <w:szCs w:val="22"/>
        </w:rPr>
        <w:br/>
      </w:r>
      <w:r w:rsidRPr="00A22FAA">
        <w:rPr>
          <w:rFonts w:cs="Times"/>
          <w:color w:val="222222"/>
          <w:sz w:val="22"/>
          <w:szCs w:val="22"/>
          <w:shd w:val="clear" w:color="auto" w:fill="FFFFFF"/>
        </w:rPr>
        <w:t>5 - Late Charge Only</w:t>
      </w:r>
      <w:r w:rsidRPr="00A22FAA">
        <w:rPr>
          <w:rFonts w:cs="Times"/>
          <w:color w:val="222222"/>
          <w:sz w:val="22"/>
          <w:szCs w:val="22"/>
        </w:rPr>
        <w:br/>
      </w:r>
      <w:r w:rsidRPr="00A22FAA">
        <w:rPr>
          <w:rFonts w:cs="Times"/>
          <w:color w:val="222222"/>
          <w:sz w:val="22"/>
          <w:szCs w:val="22"/>
          <w:shd w:val="clear" w:color="auto" w:fill="FFFFFF"/>
        </w:rPr>
        <w:t>7 - Replacement of Prior Claim or Corrected Claim</w:t>
      </w:r>
      <w:r w:rsidRPr="00A22FAA">
        <w:rPr>
          <w:rFonts w:cs="Times"/>
          <w:color w:val="222222"/>
          <w:sz w:val="22"/>
          <w:szCs w:val="22"/>
        </w:rPr>
        <w:br/>
      </w:r>
      <w:r w:rsidRPr="00A22FAA">
        <w:rPr>
          <w:rFonts w:cs="Times"/>
          <w:color w:val="222222"/>
          <w:sz w:val="22"/>
          <w:szCs w:val="22"/>
          <w:shd w:val="clear" w:color="auto" w:fill="FFFFFF"/>
        </w:rPr>
        <w:t>8 - Void or Cancel of a Prior Claim</w:t>
      </w:r>
      <w:r w:rsidRPr="00A22FAA">
        <w:rPr>
          <w:rFonts w:cs="Times"/>
          <w:color w:val="222222"/>
          <w:sz w:val="22"/>
          <w:szCs w:val="22"/>
        </w:rPr>
        <w:br/>
      </w:r>
      <w:r w:rsidRPr="00A22FAA">
        <w:rPr>
          <w:rFonts w:cs="Times"/>
          <w:color w:val="222222"/>
          <w:sz w:val="22"/>
          <w:szCs w:val="22"/>
          <w:shd w:val="clear" w:color="auto" w:fill="FFFFFF"/>
        </w:rPr>
        <w:t>9 - Final Claim for a Home Health PPS Episode</w:t>
      </w:r>
    </w:p>
    <w:p w14:paraId="5C5955A3" w14:textId="77777777" w:rsidR="00BE62A0" w:rsidRPr="00BE62A0" w:rsidRDefault="00BE62A0" w:rsidP="00BE62A0">
      <w:pPr>
        <w:pStyle w:val="ListParagraph"/>
        <w:numPr>
          <w:ilvl w:val="0"/>
          <w:numId w:val="0"/>
        </w:numPr>
        <w:ind w:left="900"/>
        <w:rPr>
          <w:rFonts w:ascii="Calibri" w:hAnsi="Calibri" w:cs="Arial"/>
          <w:color w:val="000000"/>
          <w:sz w:val="24"/>
          <w:szCs w:val="24"/>
        </w:rPr>
      </w:pPr>
    </w:p>
    <w:p w14:paraId="6A372AD3" w14:textId="77777777" w:rsidR="00BE62A0" w:rsidRDefault="00BE62A0" w:rsidP="00BE62A0">
      <w:pPr>
        <w:pStyle w:val="ListParagraph"/>
        <w:numPr>
          <w:ilvl w:val="1"/>
          <w:numId w:val="21"/>
        </w:numPr>
        <w:tabs>
          <w:tab w:val="clear" w:pos="900"/>
        </w:tabs>
        <w:spacing w:before="0"/>
        <w:contextualSpacing w:val="0"/>
        <w:rPr>
          <w:rFonts w:ascii="Calibri" w:hAnsi="Calibri" w:cs="Arial"/>
          <w:color w:val="000000"/>
          <w:sz w:val="24"/>
          <w:szCs w:val="24"/>
        </w:rPr>
      </w:pPr>
      <w:r w:rsidRPr="00BE62A0">
        <w:rPr>
          <w:rFonts w:ascii="Calibri" w:hAnsi="Calibri" w:cs="Arial"/>
          <w:color w:val="000000"/>
          <w:sz w:val="24"/>
          <w:szCs w:val="24"/>
        </w:rPr>
        <w:t>Date of Service – From (MC059) and Date of Service – Thru (MC060) are remapped to the ASC X12N 837. (</w:t>
      </w:r>
      <w:r w:rsidR="00BF77AD">
        <w:rPr>
          <w:rFonts w:ascii="Calibri" w:hAnsi="Calibri" w:cs="Arial"/>
          <w:color w:val="000000"/>
          <w:sz w:val="24"/>
          <w:szCs w:val="24"/>
        </w:rPr>
        <w:t xml:space="preserve">Appendix D-2; </w:t>
      </w:r>
      <w:r w:rsidRPr="00BE62A0">
        <w:rPr>
          <w:rFonts w:ascii="Calibri" w:hAnsi="Calibri" w:cs="Arial"/>
          <w:color w:val="000000"/>
          <w:sz w:val="24"/>
          <w:szCs w:val="24"/>
        </w:rPr>
        <w:t>page 54)</w:t>
      </w:r>
    </w:p>
    <w:p w14:paraId="6172CDF9" w14:textId="77777777" w:rsidR="00BF77AD" w:rsidRDefault="00BF77AD" w:rsidP="00BF77AD">
      <w:pPr>
        <w:pStyle w:val="ListParagraph"/>
        <w:numPr>
          <w:ilvl w:val="0"/>
          <w:numId w:val="0"/>
        </w:numPr>
        <w:tabs>
          <w:tab w:val="clear" w:pos="900"/>
        </w:tabs>
        <w:spacing w:before="0"/>
        <w:ind w:left="1440"/>
        <w:contextualSpacing w:val="0"/>
        <w:rPr>
          <w:rFonts w:ascii="Calibri" w:hAnsi="Calibri" w:cs="Arial"/>
          <w:color w:val="000000"/>
          <w:sz w:val="24"/>
          <w:szCs w:val="24"/>
        </w:rPr>
      </w:pPr>
    </w:p>
    <w:p w14:paraId="0C54A3D3" w14:textId="5683974A" w:rsidR="00BF77AD" w:rsidRPr="00BE62A0" w:rsidRDefault="00534B19" w:rsidP="00BF77AD">
      <w:pPr>
        <w:pStyle w:val="ListParagraph"/>
        <w:numPr>
          <w:ilvl w:val="0"/>
          <w:numId w:val="0"/>
        </w:numPr>
        <w:tabs>
          <w:tab w:val="clear" w:pos="900"/>
        </w:tabs>
        <w:spacing w:before="0"/>
        <w:ind w:left="1440"/>
        <w:contextualSpacing w:val="0"/>
        <w:rPr>
          <w:rFonts w:ascii="Calibri" w:hAnsi="Calibri" w:cs="Arial"/>
          <w:color w:val="000000"/>
          <w:sz w:val="24"/>
          <w:szCs w:val="24"/>
        </w:rPr>
      </w:pPr>
      <w:r>
        <w:rPr>
          <w:rFonts w:ascii="Calibri" w:hAnsi="Calibri" w:cs="Arial"/>
          <w:color w:val="000000"/>
          <w:sz w:val="24"/>
          <w:szCs w:val="24"/>
        </w:rPr>
        <w:t>Based on the recommendations of the National Uniform Billing Committee</w:t>
      </w:r>
      <w:r w:rsidR="003B77DA">
        <w:rPr>
          <w:rFonts w:ascii="Calibri" w:hAnsi="Calibri" w:cs="Arial"/>
          <w:color w:val="000000"/>
          <w:sz w:val="24"/>
          <w:szCs w:val="24"/>
        </w:rPr>
        <w:t xml:space="preserve"> (NUBC) and the National Uniform Claim Committee (NUCC)</w:t>
      </w:r>
      <w:r>
        <w:rPr>
          <w:rFonts w:ascii="Calibri" w:hAnsi="Calibri" w:cs="Arial"/>
          <w:color w:val="000000"/>
          <w:sz w:val="24"/>
          <w:szCs w:val="24"/>
        </w:rPr>
        <w:t xml:space="preserve">, the population </w:t>
      </w:r>
      <w:r w:rsidR="0035535F">
        <w:rPr>
          <w:rFonts w:ascii="Calibri" w:hAnsi="Calibri" w:cs="Arial"/>
          <w:color w:val="000000"/>
          <w:sz w:val="24"/>
          <w:szCs w:val="24"/>
        </w:rPr>
        <w:t>of t</w:t>
      </w:r>
      <w:r w:rsidR="00BF77AD">
        <w:rPr>
          <w:rFonts w:ascii="Calibri" w:hAnsi="Calibri" w:cs="Arial"/>
          <w:color w:val="000000"/>
          <w:sz w:val="24"/>
          <w:szCs w:val="24"/>
        </w:rPr>
        <w:t xml:space="preserve">hese fields </w:t>
      </w:r>
      <w:r w:rsidR="00895CDA">
        <w:rPr>
          <w:rFonts w:ascii="Calibri" w:hAnsi="Calibri" w:cs="Arial"/>
          <w:color w:val="000000"/>
          <w:sz w:val="24"/>
          <w:szCs w:val="24"/>
        </w:rPr>
        <w:t>should follow the mapping of the</w:t>
      </w:r>
      <w:r w:rsidR="0035535F">
        <w:rPr>
          <w:rFonts w:ascii="Calibri" w:hAnsi="Calibri" w:cs="Arial"/>
          <w:color w:val="000000"/>
          <w:sz w:val="24"/>
          <w:szCs w:val="24"/>
        </w:rPr>
        <w:t xml:space="preserve"> ASC X12N 837.</w:t>
      </w:r>
      <w:r w:rsidR="0080378D">
        <w:rPr>
          <w:rFonts w:ascii="Calibri" w:hAnsi="Calibri" w:cs="Arial"/>
          <w:color w:val="000000"/>
          <w:sz w:val="24"/>
          <w:szCs w:val="24"/>
        </w:rPr>
        <w:t xml:space="preserve">  </w:t>
      </w:r>
      <w:r w:rsidR="00895CDA">
        <w:rPr>
          <w:rFonts w:ascii="Calibri" w:hAnsi="Calibri" w:cs="Arial"/>
          <w:color w:val="000000"/>
          <w:sz w:val="24"/>
          <w:szCs w:val="24"/>
        </w:rPr>
        <w:t xml:space="preserve">Currently the mapping in the rule is based on the </w:t>
      </w:r>
      <w:r w:rsidR="003B77DA">
        <w:rPr>
          <w:rFonts w:ascii="Calibri" w:hAnsi="Calibri" w:cs="Arial"/>
          <w:color w:val="000000"/>
          <w:sz w:val="24"/>
          <w:szCs w:val="24"/>
        </w:rPr>
        <w:t xml:space="preserve">ASC X12N </w:t>
      </w:r>
      <w:r w:rsidR="00895CDA">
        <w:rPr>
          <w:rFonts w:ascii="Calibri" w:hAnsi="Calibri" w:cs="Arial"/>
          <w:color w:val="000000"/>
          <w:sz w:val="24"/>
          <w:szCs w:val="24"/>
        </w:rPr>
        <w:t xml:space="preserve">835.  We anticipate this remapping </w:t>
      </w:r>
      <w:r w:rsidR="003B77DA">
        <w:rPr>
          <w:rFonts w:ascii="Calibri" w:hAnsi="Calibri" w:cs="Arial"/>
          <w:color w:val="000000"/>
          <w:sz w:val="24"/>
          <w:szCs w:val="24"/>
        </w:rPr>
        <w:t>may</w:t>
      </w:r>
      <w:r w:rsidR="00895CDA">
        <w:rPr>
          <w:rFonts w:ascii="Calibri" w:hAnsi="Calibri" w:cs="Arial"/>
          <w:color w:val="000000"/>
          <w:sz w:val="24"/>
          <w:szCs w:val="24"/>
        </w:rPr>
        <w:t xml:space="preserve"> improve the population of these fields</w:t>
      </w:r>
      <w:r w:rsidR="003B77DA">
        <w:rPr>
          <w:rFonts w:ascii="Calibri" w:hAnsi="Calibri" w:cs="Arial"/>
          <w:color w:val="000000"/>
          <w:sz w:val="24"/>
          <w:szCs w:val="24"/>
        </w:rPr>
        <w:t>,</w:t>
      </w:r>
      <w:r w:rsidR="00895CDA">
        <w:rPr>
          <w:rFonts w:ascii="Calibri" w:hAnsi="Calibri" w:cs="Arial"/>
          <w:color w:val="000000"/>
          <w:sz w:val="24"/>
          <w:szCs w:val="24"/>
        </w:rPr>
        <w:t xml:space="preserve"> which </w:t>
      </w:r>
      <w:r w:rsidR="003B77DA">
        <w:rPr>
          <w:rFonts w:ascii="Calibri" w:hAnsi="Calibri" w:cs="Arial"/>
          <w:color w:val="000000"/>
          <w:sz w:val="24"/>
          <w:szCs w:val="24"/>
        </w:rPr>
        <w:t>should</w:t>
      </w:r>
      <w:r w:rsidR="00895CDA">
        <w:rPr>
          <w:rFonts w:ascii="Calibri" w:hAnsi="Calibri" w:cs="Arial"/>
          <w:color w:val="000000"/>
          <w:sz w:val="24"/>
          <w:szCs w:val="24"/>
        </w:rPr>
        <w:t xml:space="preserve"> enhance the value of the data.</w:t>
      </w:r>
    </w:p>
    <w:p w14:paraId="261D8B61" w14:textId="77777777" w:rsidR="00BE62A0" w:rsidRPr="00BE62A0" w:rsidRDefault="00BE62A0" w:rsidP="00BE62A0">
      <w:pPr>
        <w:pStyle w:val="ListParagraph"/>
        <w:numPr>
          <w:ilvl w:val="0"/>
          <w:numId w:val="0"/>
        </w:numPr>
        <w:ind w:left="1440"/>
        <w:rPr>
          <w:rFonts w:ascii="Calibri" w:hAnsi="Calibri" w:cs="Arial"/>
          <w:b/>
          <w:color w:val="000000"/>
          <w:sz w:val="24"/>
          <w:szCs w:val="24"/>
        </w:rPr>
      </w:pPr>
    </w:p>
    <w:p w14:paraId="5678C4C8" w14:textId="77777777" w:rsidR="00BE62A0" w:rsidRPr="00571030" w:rsidRDefault="00BE62A0" w:rsidP="00BE62A0">
      <w:pPr>
        <w:pStyle w:val="ListParagraph"/>
        <w:numPr>
          <w:ilvl w:val="1"/>
          <w:numId w:val="21"/>
        </w:numPr>
        <w:tabs>
          <w:tab w:val="clear" w:pos="900"/>
        </w:tabs>
        <w:spacing w:before="0"/>
        <w:contextualSpacing w:val="0"/>
        <w:rPr>
          <w:rFonts w:ascii="Calibri" w:hAnsi="Calibri" w:cs="Arial"/>
          <w:b/>
          <w:color w:val="000000"/>
          <w:sz w:val="24"/>
          <w:szCs w:val="24"/>
        </w:rPr>
      </w:pPr>
      <w:r w:rsidRPr="00BE62A0">
        <w:rPr>
          <w:rFonts w:ascii="Calibri" w:hAnsi="Calibri" w:cs="Arial"/>
          <w:color w:val="000000"/>
          <w:sz w:val="24"/>
          <w:szCs w:val="24"/>
        </w:rPr>
        <w:t>Code decimal point for Quantity (MC061) and Quantity Dispensed (PC033) fields. (</w:t>
      </w:r>
      <w:r w:rsidR="0035535F">
        <w:rPr>
          <w:rFonts w:ascii="Calibri" w:hAnsi="Calibri" w:cs="Arial"/>
          <w:color w:val="000000"/>
          <w:sz w:val="24"/>
          <w:szCs w:val="24"/>
        </w:rPr>
        <w:t xml:space="preserve">Appendix </w:t>
      </w:r>
      <w:r w:rsidR="00571030">
        <w:rPr>
          <w:rFonts w:ascii="Calibri" w:hAnsi="Calibri" w:cs="Arial"/>
          <w:color w:val="000000"/>
          <w:sz w:val="24"/>
          <w:szCs w:val="24"/>
        </w:rPr>
        <w:t xml:space="preserve">D-1 </w:t>
      </w:r>
      <w:r w:rsidRPr="00BE62A0">
        <w:rPr>
          <w:rFonts w:ascii="Calibri" w:hAnsi="Calibri" w:cs="Arial"/>
          <w:color w:val="000000"/>
          <w:sz w:val="24"/>
          <w:szCs w:val="24"/>
        </w:rPr>
        <w:t>page</w:t>
      </w:r>
      <w:r w:rsidR="00571030">
        <w:rPr>
          <w:rFonts w:ascii="Calibri" w:hAnsi="Calibri" w:cs="Arial"/>
          <w:color w:val="000000"/>
          <w:sz w:val="24"/>
          <w:szCs w:val="24"/>
        </w:rPr>
        <w:t xml:space="preserve"> </w:t>
      </w:r>
      <w:r w:rsidRPr="00BE62A0">
        <w:rPr>
          <w:rFonts w:ascii="Calibri" w:hAnsi="Calibri" w:cs="Arial"/>
          <w:color w:val="000000"/>
          <w:sz w:val="24"/>
          <w:szCs w:val="24"/>
        </w:rPr>
        <w:t>33</w:t>
      </w:r>
      <w:r w:rsidR="00571030">
        <w:rPr>
          <w:rFonts w:ascii="Calibri" w:hAnsi="Calibri" w:cs="Arial"/>
          <w:color w:val="000000"/>
          <w:sz w:val="24"/>
          <w:szCs w:val="24"/>
        </w:rPr>
        <w:t>;</w:t>
      </w:r>
      <w:r w:rsidRPr="00BE62A0">
        <w:rPr>
          <w:rFonts w:ascii="Calibri" w:hAnsi="Calibri" w:cs="Arial"/>
          <w:color w:val="000000"/>
          <w:sz w:val="24"/>
          <w:szCs w:val="24"/>
        </w:rPr>
        <w:t xml:space="preserve"> </w:t>
      </w:r>
      <w:r w:rsidR="00571030">
        <w:rPr>
          <w:rFonts w:ascii="Calibri" w:hAnsi="Calibri" w:cs="Arial"/>
          <w:color w:val="000000"/>
          <w:sz w:val="24"/>
          <w:szCs w:val="24"/>
        </w:rPr>
        <w:t xml:space="preserve">Appendix E-1, page </w:t>
      </w:r>
      <w:r w:rsidRPr="00BE62A0">
        <w:rPr>
          <w:rFonts w:ascii="Calibri" w:hAnsi="Calibri" w:cs="Arial"/>
          <w:color w:val="000000"/>
          <w:sz w:val="24"/>
          <w:szCs w:val="24"/>
        </w:rPr>
        <w:t>65)</w:t>
      </w:r>
    </w:p>
    <w:p w14:paraId="7221FD80" w14:textId="77777777" w:rsidR="00571030" w:rsidRDefault="00571030" w:rsidP="00571030">
      <w:pPr>
        <w:pStyle w:val="ListParagraph"/>
        <w:numPr>
          <w:ilvl w:val="0"/>
          <w:numId w:val="0"/>
        </w:numPr>
        <w:tabs>
          <w:tab w:val="clear" w:pos="900"/>
        </w:tabs>
        <w:spacing w:before="0"/>
        <w:ind w:left="1440"/>
        <w:contextualSpacing w:val="0"/>
        <w:rPr>
          <w:rFonts w:ascii="Calibri" w:hAnsi="Calibri" w:cs="Arial"/>
          <w:b/>
          <w:color w:val="000000"/>
          <w:sz w:val="24"/>
          <w:szCs w:val="24"/>
        </w:rPr>
      </w:pPr>
    </w:p>
    <w:p w14:paraId="1D071755" w14:textId="6A5C1E01" w:rsidR="00571030" w:rsidRPr="00571030" w:rsidRDefault="00571030" w:rsidP="00571030">
      <w:pPr>
        <w:pStyle w:val="ListParagraph"/>
        <w:numPr>
          <w:ilvl w:val="0"/>
          <w:numId w:val="0"/>
        </w:numPr>
        <w:tabs>
          <w:tab w:val="clear" w:pos="900"/>
        </w:tabs>
        <w:spacing w:before="0"/>
        <w:ind w:left="1440"/>
        <w:contextualSpacing w:val="0"/>
        <w:rPr>
          <w:rFonts w:ascii="Calibri" w:hAnsi="Calibri" w:cs="Arial"/>
          <w:color w:val="000000"/>
          <w:sz w:val="24"/>
          <w:szCs w:val="24"/>
        </w:rPr>
      </w:pPr>
      <w:r w:rsidRPr="00571030">
        <w:rPr>
          <w:rFonts w:ascii="Calibri" w:hAnsi="Calibri" w:cs="Arial"/>
          <w:color w:val="000000"/>
          <w:sz w:val="24"/>
          <w:szCs w:val="24"/>
        </w:rPr>
        <w:t>Clarifies the specifications for quantity fields</w:t>
      </w:r>
      <w:r w:rsidR="003B77DA">
        <w:rPr>
          <w:rFonts w:ascii="Calibri" w:hAnsi="Calibri" w:cs="Arial"/>
          <w:color w:val="000000"/>
          <w:sz w:val="24"/>
          <w:szCs w:val="24"/>
        </w:rPr>
        <w:t>. I</w:t>
      </w:r>
      <w:r w:rsidR="00534B19">
        <w:rPr>
          <w:rFonts w:ascii="Calibri" w:hAnsi="Calibri" w:cs="Arial"/>
          <w:color w:val="000000"/>
          <w:sz w:val="24"/>
          <w:szCs w:val="24"/>
        </w:rPr>
        <w:t xml:space="preserve">f there is a decimal it </w:t>
      </w:r>
      <w:r w:rsidR="003B77DA">
        <w:rPr>
          <w:rFonts w:ascii="Calibri" w:hAnsi="Calibri" w:cs="Arial"/>
          <w:color w:val="000000"/>
          <w:sz w:val="24"/>
          <w:szCs w:val="24"/>
        </w:rPr>
        <w:t>must be</w:t>
      </w:r>
      <w:r w:rsidR="00534B19">
        <w:rPr>
          <w:rFonts w:ascii="Calibri" w:hAnsi="Calibri" w:cs="Arial"/>
          <w:color w:val="000000"/>
          <w:sz w:val="24"/>
          <w:szCs w:val="24"/>
        </w:rPr>
        <w:t xml:space="preserve"> reported</w:t>
      </w:r>
      <w:r w:rsidR="003B77DA">
        <w:rPr>
          <w:rFonts w:ascii="Calibri" w:hAnsi="Calibri" w:cs="Arial"/>
          <w:color w:val="000000"/>
          <w:sz w:val="24"/>
          <w:szCs w:val="24"/>
        </w:rPr>
        <w:t>.</w:t>
      </w:r>
      <w:r w:rsidR="00534B19">
        <w:rPr>
          <w:rFonts w:ascii="Calibri" w:hAnsi="Calibri" w:cs="Arial"/>
          <w:color w:val="000000"/>
          <w:sz w:val="24"/>
          <w:szCs w:val="24"/>
        </w:rPr>
        <w:t xml:space="preserve">  </w:t>
      </w:r>
    </w:p>
    <w:p w14:paraId="3416C6DC" w14:textId="77777777" w:rsidR="00BE62A0" w:rsidRPr="00BE62A0" w:rsidRDefault="00BE62A0" w:rsidP="00BE62A0">
      <w:pPr>
        <w:pStyle w:val="ListParagraph"/>
        <w:numPr>
          <w:ilvl w:val="0"/>
          <w:numId w:val="0"/>
        </w:numPr>
        <w:ind w:left="900"/>
        <w:rPr>
          <w:rFonts w:ascii="Calibri" w:hAnsi="Calibri" w:cs="Arial"/>
          <w:b/>
          <w:color w:val="000000"/>
          <w:sz w:val="24"/>
          <w:szCs w:val="24"/>
        </w:rPr>
      </w:pPr>
    </w:p>
    <w:p w14:paraId="68D7BB7D" w14:textId="77777777" w:rsidR="00BE62A0" w:rsidRPr="008B2D6D" w:rsidRDefault="00BE62A0" w:rsidP="00BE62A0">
      <w:pPr>
        <w:pStyle w:val="ListParagraph"/>
        <w:numPr>
          <w:ilvl w:val="1"/>
          <w:numId w:val="21"/>
        </w:numPr>
        <w:tabs>
          <w:tab w:val="clear" w:pos="900"/>
        </w:tabs>
        <w:spacing w:before="0"/>
        <w:contextualSpacing w:val="0"/>
        <w:rPr>
          <w:rFonts w:ascii="Calibri" w:hAnsi="Calibri" w:cs="Arial"/>
          <w:b/>
          <w:color w:val="000000"/>
          <w:sz w:val="24"/>
          <w:szCs w:val="24"/>
        </w:rPr>
      </w:pPr>
      <w:r w:rsidRPr="00BE62A0">
        <w:rPr>
          <w:rFonts w:ascii="Calibri" w:hAnsi="Calibri" w:cs="Arial"/>
          <w:color w:val="000000"/>
          <w:sz w:val="24"/>
          <w:szCs w:val="24"/>
        </w:rPr>
        <w:t>Two decimal places implied for Charge Amount (MC062, PC035, DC037); Paid Amount (MC063, PC036; DC038); Ingredient Cost/List Price (PC037); Postage Amount Claimed (PC038); Dispensing Fee (PC039); Prepaid Amount (MC064); Co-Pay Amount (MC065, PC040; DC039); Coinsurance Amount (MC066, PC041, DC040); Deductible Amount (MC067, PC042, DC041); and Patient Pay Amount (PC043) fields. (</w:t>
      </w:r>
      <w:r w:rsidR="008B2D6D">
        <w:rPr>
          <w:rFonts w:ascii="Calibri" w:hAnsi="Calibri" w:cs="Arial"/>
          <w:color w:val="000000"/>
          <w:sz w:val="24"/>
          <w:szCs w:val="24"/>
        </w:rPr>
        <w:t xml:space="preserve">Appendix D-1, </w:t>
      </w:r>
      <w:r w:rsidRPr="00BE62A0">
        <w:rPr>
          <w:rFonts w:ascii="Calibri" w:hAnsi="Calibri" w:cs="Arial"/>
          <w:color w:val="000000"/>
          <w:sz w:val="24"/>
          <w:szCs w:val="24"/>
        </w:rPr>
        <w:t>page</w:t>
      </w:r>
      <w:r w:rsidR="008B2D6D">
        <w:rPr>
          <w:rFonts w:ascii="Calibri" w:hAnsi="Calibri" w:cs="Arial"/>
          <w:color w:val="000000"/>
          <w:sz w:val="24"/>
          <w:szCs w:val="24"/>
        </w:rPr>
        <w:t>s 33,</w:t>
      </w:r>
      <w:r w:rsidRPr="00BE62A0">
        <w:rPr>
          <w:rFonts w:ascii="Calibri" w:hAnsi="Calibri" w:cs="Arial"/>
          <w:color w:val="000000"/>
          <w:sz w:val="24"/>
          <w:szCs w:val="24"/>
        </w:rPr>
        <w:t xml:space="preserve"> 34</w:t>
      </w:r>
      <w:r w:rsidR="008B2D6D">
        <w:rPr>
          <w:rFonts w:ascii="Calibri" w:hAnsi="Calibri" w:cs="Arial"/>
          <w:color w:val="000000"/>
          <w:sz w:val="24"/>
          <w:szCs w:val="24"/>
        </w:rPr>
        <w:t>; Appendix E-1, page</w:t>
      </w:r>
      <w:r w:rsidRPr="00BE62A0">
        <w:rPr>
          <w:rFonts w:ascii="Calibri" w:hAnsi="Calibri" w:cs="Arial"/>
          <w:color w:val="000000"/>
          <w:sz w:val="24"/>
          <w:szCs w:val="24"/>
        </w:rPr>
        <w:t xml:space="preserve"> 66</w:t>
      </w:r>
      <w:r w:rsidR="008B2D6D">
        <w:rPr>
          <w:rFonts w:ascii="Calibri" w:hAnsi="Calibri" w:cs="Arial"/>
          <w:color w:val="000000"/>
          <w:sz w:val="24"/>
          <w:szCs w:val="24"/>
        </w:rPr>
        <w:t>; Appendix E-1, page</w:t>
      </w:r>
      <w:r w:rsidRPr="00BE62A0">
        <w:rPr>
          <w:rFonts w:ascii="Calibri" w:hAnsi="Calibri" w:cs="Arial"/>
          <w:color w:val="000000"/>
          <w:sz w:val="24"/>
          <w:szCs w:val="24"/>
        </w:rPr>
        <w:t xml:space="preserve"> 73)</w:t>
      </w:r>
    </w:p>
    <w:p w14:paraId="374094E2" w14:textId="77777777" w:rsidR="008B2D6D" w:rsidRDefault="008B2D6D" w:rsidP="008B2D6D">
      <w:pPr>
        <w:pStyle w:val="ListParagraph"/>
        <w:numPr>
          <w:ilvl w:val="0"/>
          <w:numId w:val="0"/>
        </w:numPr>
        <w:tabs>
          <w:tab w:val="clear" w:pos="900"/>
        </w:tabs>
        <w:spacing w:before="0"/>
        <w:ind w:left="1440"/>
        <w:contextualSpacing w:val="0"/>
        <w:rPr>
          <w:rFonts w:ascii="Calibri" w:hAnsi="Calibri" w:cs="Arial"/>
          <w:b/>
          <w:color w:val="000000"/>
          <w:sz w:val="24"/>
          <w:szCs w:val="24"/>
        </w:rPr>
      </w:pPr>
    </w:p>
    <w:p w14:paraId="439C8036" w14:textId="2D9FFB26" w:rsidR="008B2D6D" w:rsidRDefault="008B2D6D" w:rsidP="008B2D6D">
      <w:pPr>
        <w:pStyle w:val="ListParagraph"/>
        <w:numPr>
          <w:ilvl w:val="0"/>
          <w:numId w:val="0"/>
        </w:numPr>
        <w:tabs>
          <w:tab w:val="clear" w:pos="900"/>
        </w:tabs>
        <w:spacing w:before="0"/>
        <w:ind w:left="1440"/>
        <w:contextualSpacing w:val="0"/>
        <w:rPr>
          <w:rFonts w:ascii="Calibri" w:hAnsi="Calibri" w:cs="Arial"/>
          <w:color w:val="000000"/>
          <w:sz w:val="24"/>
          <w:szCs w:val="24"/>
        </w:rPr>
      </w:pPr>
      <w:r w:rsidRPr="00571030">
        <w:rPr>
          <w:rFonts w:ascii="Calibri" w:hAnsi="Calibri" w:cs="Arial"/>
          <w:color w:val="000000"/>
          <w:sz w:val="24"/>
          <w:szCs w:val="24"/>
        </w:rPr>
        <w:t xml:space="preserve">Clarifies the specifications for </w:t>
      </w:r>
      <w:r>
        <w:rPr>
          <w:rFonts w:ascii="Calibri" w:hAnsi="Calibri" w:cs="Arial"/>
          <w:color w:val="000000"/>
          <w:sz w:val="24"/>
          <w:szCs w:val="24"/>
        </w:rPr>
        <w:t>currency</w:t>
      </w:r>
      <w:r w:rsidRPr="00571030">
        <w:rPr>
          <w:rFonts w:ascii="Calibri" w:hAnsi="Calibri" w:cs="Arial"/>
          <w:color w:val="000000"/>
          <w:sz w:val="24"/>
          <w:szCs w:val="24"/>
        </w:rPr>
        <w:t xml:space="preserve"> fields</w:t>
      </w:r>
      <w:r w:rsidR="003B77DA">
        <w:rPr>
          <w:rFonts w:ascii="Calibri" w:hAnsi="Calibri" w:cs="Arial"/>
          <w:color w:val="000000"/>
          <w:sz w:val="24"/>
          <w:szCs w:val="24"/>
        </w:rPr>
        <w:t>,</w:t>
      </w:r>
      <w:r w:rsidR="00534B19">
        <w:rPr>
          <w:rFonts w:ascii="Calibri" w:hAnsi="Calibri" w:cs="Arial"/>
          <w:color w:val="000000"/>
          <w:sz w:val="24"/>
          <w:szCs w:val="24"/>
        </w:rPr>
        <w:t xml:space="preserve"> which will ensure that only two implied decimal places are used rather than three or four</w:t>
      </w:r>
      <w:r w:rsidR="00534B19" w:rsidRPr="00571030">
        <w:rPr>
          <w:rFonts w:ascii="Calibri" w:hAnsi="Calibri" w:cs="Arial"/>
          <w:color w:val="000000"/>
          <w:sz w:val="24"/>
          <w:szCs w:val="24"/>
        </w:rPr>
        <w:t>.</w:t>
      </w:r>
      <w:r w:rsidR="00534B19">
        <w:rPr>
          <w:rFonts w:ascii="Calibri" w:hAnsi="Calibri" w:cs="Arial"/>
          <w:color w:val="000000"/>
          <w:sz w:val="24"/>
          <w:szCs w:val="24"/>
        </w:rPr>
        <w:t xml:space="preserve">  In other words, we are asking for the rounded values for the cents.</w:t>
      </w:r>
    </w:p>
    <w:p w14:paraId="6D72B28D" w14:textId="6438AB94" w:rsidR="00325128" w:rsidRDefault="00325128" w:rsidP="008B2D6D">
      <w:pPr>
        <w:pStyle w:val="ListParagraph"/>
        <w:numPr>
          <w:ilvl w:val="0"/>
          <w:numId w:val="0"/>
        </w:numPr>
        <w:tabs>
          <w:tab w:val="clear" w:pos="900"/>
        </w:tabs>
        <w:spacing w:before="0"/>
        <w:ind w:left="1440"/>
        <w:contextualSpacing w:val="0"/>
        <w:rPr>
          <w:rFonts w:ascii="Calibri" w:hAnsi="Calibri" w:cs="Arial"/>
          <w:color w:val="000000"/>
          <w:sz w:val="24"/>
          <w:szCs w:val="24"/>
        </w:rPr>
      </w:pPr>
    </w:p>
    <w:p w14:paraId="6D1B3D61" w14:textId="7FD0CBEB" w:rsidR="00325128" w:rsidRDefault="00325128" w:rsidP="007130B4">
      <w:pPr>
        <w:pStyle w:val="ListParagraph"/>
        <w:numPr>
          <w:ilvl w:val="0"/>
          <w:numId w:val="0"/>
        </w:numPr>
        <w:tabs>
          <w:tab w:val="clear" w:pos="900"/>
        </w:tabs>
        <w:spacing w:before="0"/>
        <w:contextualSpacing w:val="0"/>
        <w:rPr>
          <w:rFonts w:ascii="Calibri" w:hAnsi="Calibri" w:cs="Arial"/>
          <w:color w:val="000000"/>
          <w:sz w:val="24"/>
          <w:szCs w:val="24"/>
        </w:rPr>
      </w:pPr>
      <w:r w:rsidRPr="007130B4">
        <w:rPr>
          <w:rFonts w:ascii="Calibri" w:hAnsi="Calibri" w:cs="Arial"/>
          <w:b/>
          <w:color w:val="000000"/>
          <w:sz w:val="24"/>
          <w:szCs w:val="24"/>
        </w:rPr>
        <w:t>Statutory Authority:</w:t>
      </w:r>
      <w:r>
        <w:rPr>
          <w:rFonts w:ascii="Calibri" w:hAnsi="Calibri" w:cs="Arial"/>
          <w:color w:val="000000"/>
          <w:sz w:val="24"/>
          <w:szCs w:val="24"/>
        </w:rPr>
        <w:t xml:space="preserve"> </w:t>
      </w:r>
      <w:r w:rsidRPr="00325128">
        <w:rPr>
          <w:rFonts w:ascii="Calibri" w:hAnsi="Calibri" w:cs="Arial"/>
          <w:color w:val="000000"/>
          <w:sz w:val="24"/>
          <w:szCs w:val="24"/>
        </w:rPr>
        <w:t>22 M.R.S.A., §§8703(1), 8704(4), 8708(6-A) and 8712(2)</w:t>
      </w:r>
    </w:p>
    <w:p w14:paraId="082BF1A2" w14:textId="18E17FB0" w:rsidR="00325128" w:rsidRDefault="00325128" w:rsidP="008B2D6D">
      <w:pPr>
        <w:pStyle w:val="ListParagraph"/>
        <w:numPr>
          <w:ilvl w:val="0"/>
          <w:numId w:val="0"/>
        </w:numPr>
        <w:tabs>
          <w:tab w:val="clear" w:pos="900"/>
        </w:tabs>
        <w:spacing w:before="0"/>
        <w:ind w:left="1440"/>
        <w:contextualSpacing w:val="0"/>
        <w:rPr>
          <w:rFonts w:ascii="Calibri" w:hAnsi="Calibri" w:cs="Arial"/>
          <w:color w:val="000000"/>
          <w:sz w:val="24"/>
          <w:szCs w:val="24"/>
        </w:rPr>
      </w:pPr>
    </w:p>
    <w:p w14:paraId="1DEC4062" w14:textId="49567831" w:rsidR="00325128" w:rsidRDefault="00325128" w:rsidP="007130B4">
      <w:pPr>
        <w:pStyle w:val="ListParagraph"/>
        <w:numPr>
          <w:ilvl w:val="0"/>
          <w:numId w:val="0"/>
        </w:numPr>
        <w:tabs>
          <w:tab w:val="clear" w:pos="900"/>
        </w:tabs>
        <w:spacing w:before="0"/>
        <w:contextualSpacing w:val="0"/>
        <w:rPr>
          <w:rFonts w:ascii="Calibri" w:hAnsi="Calibri" w:cs="Arial"/>
          <w:color w:val="000000"/>
          <w:sz w:val="24"/>
          <w:szCs w:val="24"/>
        </w:rPr>
      </w:pPr>
      <w:r w:rsidRPr="007130B4">
        <w:rPr>
          <w:rFonts w:ascii="Calibri" w:hAnsi="Calibri" w:cs="Arial"/>
          <w:b/>
          <w:color w:val="000000"/>
          <w:sz w:val="24"/>
          <w:szCs w:val="24"/>
        </w:rPr>
        <w:t>Effective Date</w:t>
      </w:r>
      <w:r>
        <w:rPr>
          <w:rFonts w:ascii="Calibri" w:hAnsi="Calibri" w:cs="Arial"/>
          <w:color w:val="000000"/>
          <w:sz w:val="24"/>
          <w:szCs w:val="24"/>
        </w:rPr>
        <w:t>: This rule change will be effective 5 days from the date the Secretary of State accepts the filing.</w:t>
      </w:r>
    </w:p>
    <w:p w14:paraId="11849F02" w14:textId="27D4DC3B" w:rsidR="00331E62" w:rsidRDefault="00331E62" w:rsidP="008B2D6D">
      <w:pPr>
        <w:pStyle w:val="ListParagraph"/>
        <w:numPr>
          <w:ilvl w:val="0"/>
          <w:numId w:val="0"/>
        </w:numPr>
        <w:tabs>
          <w:tab w:val="clear" w:pos="900"/>
        </w:tabs>
        <w:spacing w:before="0"/>
        <w:ind w:left="1440"/>
        <w:contextualSpacing w:val="0"/>
        <w:rPr>
          <w:rFonts w:ascii="Calibri" w:hAnsi="Calibri" w:cs="Arial"/>
          <w:b/>
          <w:color w:val="000000"/>
          <w:sz w:val="24"/>
          <w:szCs w:val="24"/>
        </w:rPr>
      </w:pPr>
    </w:p>
    <w:p w14:paraId="2C11885F" w14:textId="77777777" w:rsidR="00331E62" w:rsidRPr="00BE62A0" w:rsidRDefault="00331E62" w:rsidP="008B2D6D">
      <w:pPr>
        <w:pStyle w:val="ListParagraph"/>
        <w:numPr>
          <w:ilvl w:val="0"/>
          <w:numId w:val="0"/>
        </w:numPr>
        <w:tabs>
          <w:tab w:val="clear" w:pos="900"/>
        </w:tabs>
        <w:spacing w:before="0"/>
        <w:ind w:left="1440"/>
        <w:contextualSpacing w:val="0"/>
        <w:rPr>
          <w:rFonts w:ascii="Calibri" w:hAnsi="Calibri" w:cs="Arial"/>
          <w:b/>
          <w:color w:val="000000"/>
          <w:sz w:val="24"/>
          <w:szCs w:val="24"/>
        </w:rPr>
      </w:pPr>
    </w:p>
    <w:p w14:paraId="65EF76D9" w14:textId="77777777" w:rsidR="00BE62A0" w:rsidRPr="00BE62A0" w:rsidRDefault="00BE62A0" w:rsidP="00BE62A0">
      <w:pPr>
        <w:pStyle w:val="DefaultText"/>
        <w:rPr>
          <w:szCs w:val="24"/>
        </w:rPr>
      </w:pPr>
      <w:r w:rsidRPr="00BE62A0">
        <w:rPr>
          <w:szCs w:val="24"/>
        </w:rPr>
        <w:t xml:space="preserve"> </w:t>
      </w:r>
    </w:p>
    <w:sectPr w:rsidR="00BE62A0" w:rsidRPr="00BE62A0" w:rsidSect="00F36B87">
      <w:headerReference w:type="default" r:id="rId8"/>
      <w:footerReference w:type="default" r:id="rId9"/>
      <w:pgSz w:w="12240" w:h="15840" w:code="1"/>
      <w:pgMar w:top="1440" w:right="1440" w:bottom="1440" w:left="1440" w:header="720"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07DD73" w14:textId="77777777" w:rsidR="00E778C7" w:rsidRDefault="00E778C7" w:rsidP="00364CCC">
      <w:r>
        <w:separator/>
      </w:r>
    </w:p>
    <w:p w14:paraId="5FC72ECF" w14:textId="77777777" w:rsidR="00E778C7" w:rsidRDefault="00E778C7" w:rsidP="00364CCC"/>
  </w:endnote>
  <w:endnote w:type="continuationSeparator" w:id="0">
    <w:p w14:paraId="149EADB1" w14:textId="77777777" w:rsidR="00E778C7" w:rsidRDefault="00E778C7" w:rsidP="00364CCC">
      <w:r>
        <w:continuationSeparator/>
      </w:r>
    </w:p>
    <w:p w14:paraId="267A1BC5" w14:textId="77777777" w:rsidR="00E778C7" w:rsidRDefault="00E778C7" w:rsidP="00364C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AC362" w14:textId="57E6E63C" w:rsidR="003F45D2" w:rsidRDefault="00BC7AE8" w:rsidP="00364CCC">
    <w:pPr>
      <w:pStyle w:val="Footer"/>
    </w:pPr>
    <w:r>
      <w:fldChar w:fldCharType="begin"/>
    </w:r>
    <w:r>
      <w:instrText xml:space="preserve"> PAGE   \* MERGEFORMAT </w:instrText>
    </w:r>
    <w:r>
      <w:fldChar w:fldCharType="separate"/>
    </w:r>
    <w:r w:rsidR="00FD685D">
      <w:rPr>
        <w:noProof/>
      </w:rPr>
      <w:t>1</w:t>
    </w:r>
    <w:r>
      <w:rPr>
        <w:noProof/>
      </w:rPr>
      <w:fldChar w:fldCharType="end"/>
    </w:r>
    <w:r>
      <w:t xml:space="preserve"> | </w:t>
    </w:r>
    <w:r w:rsidRPr="00BC7AE8">
      <w:rPr>
        <w:color w:val="808080"/>
        <w:spacing w:val="60"/>
      </w:rPr>
      <w:t>Page</w:t>
    </w:r>
  </w:p>
  <w:p w14:paraId="0D56532F" w14:textId="77777777" w:rsidR="0092463D" w:rsidRDefault="0092463D" w:rsidP="00364CC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7ABC1D" w14:textId="77777777" w:rsidR="00E778C7" w:rsidRDefault="00E778C7" w:rsidP="00364CCC">
      <w:r>
        <w:separator/>
      </w:r>
    </w:p>
    <w:p w14:paraId="1D8F66B3" w14:textId="77777777" w:rsidR="00E778C7" w:rsidRDefault="00E778C7" w:rsidP="00364CCC"/>
  </w:footnote>
  <w:footnote w:type="continuationSeparator" w:id="0">
    <w:p w14:paraId="0680F0CE" w14:textId="77777777" w:rsidR="00E778C7" w:rsidRDefault="00E778C7" w:rsidP="00364CCC">
      <w:r>
        <w:continuationSeparator/>
      </w:r>
    </w:p>
    <w:p w14:paraId="1BA2B367" w14:textId="77777777" w:rsidR="00E778C7" w:rsidRDefault="00E778C7" w:rsidP="00364CC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57349" w14:textId="77777777" w:rsidR="00D43AB2" w:rsidRPr="00491264" w:rsidRDefault="00114FB7" w:rsidP="00364CCC">
    <w:pPr>
      <w:pStyle w:val="Header"/>
      <w:rPr>
        <w:sz w:val="24"/>
        <w:szCs w:val="24"/>
      </w:rPr>
    </w:pPr>
    <w:r w:rsidRPr="00364CCC">
      <w:tab/>
    </w:r>
    <w:r w:rsidR="0020662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75CE1"/>
    <w:multiLevelType w:val="hybridMultilevel"/>
    <w:tmpl w:val="2ECA5DF4"/>
    <w:lvl w:ilvl="0" w:tplc="13226940">
      <w:start w:val="1"/>
      <w:numFmt w:val="bullet"/>
      <w:lvlText w:val=""/>
      <w:lvlJc w:val="left"/>
      <w:pPr>
        <w:ind w:left="720" w:hanging="360"/>
      </w:pPr>
      <w:rPr>
        <w:rFonts w:ascii="Symbol" w:hAnsi="Symbol" w:hint="default"/>
        <w:sz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01B49"/>
    <w:multiLevelType w:val="hybridMultilevel"/>
    <w:tmpl w:val="F65016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6CB548C"/>
    <w:multiLevelType w:val="hybridMultilevel"/>
    <w:tmpl w:val="8A5A439A"/>
    <w:lvl w:ilvl="0" w:tplc="C4688630">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664E1D"/>
    <w:multiLevelType w:val="hybridMultilevel"/>
    <w:tmpl w:val="01EE583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15:restartNumberingAfterBreak="0">
    <w:nsid w:val="2B5351E6"/>
    <w:multiLevelType w:val="hybridMultilevel"/>
    <w:tmpl w:val="0638F9B4"/>
    <w:lvl w:ilvl="0" w:tplc="1BAE2DE2">
      <w:start w:val="1"/>
      <w:numFmt w:val="decimal"/>
      <w:pStyle w:val="NumberedParagraph"/>
      <w:lvlText w:val="%1."/>
      <w:lvlJc w:val="left"/>
      <w:pPr>
        <w:ind w:left="28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0061439"/>
    <w:multiLevelType w:val="hybridMultilevel"/>
    <w:tmpl w:val="8540795C"/>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2C332FA"/>
    <w:multiLevelType w:val="hybridMultilevel"/>
    <w:tmpl w:val="E3B8AC6A"/>
    <w:lvl w:ilvl="0" w:tplc="EDD24A0E">
      <w:start w:val="1"/>
      <w:numFmt w:val="upperRoman"/>
      <w:lvlText w:val="%1."/>
      <w:lvlJc w:val="right"/>
      <w:pPr>
        <w:ind w:left="720" w:hanging="360"/>
      </w:pPr>
      <w:rPr>
        <w:b/>
      </w:rPr>
    </w:lvl>
    <w:lvl w:ilvl="1" w:tplc="04090015">
      <w:start w:val="1"/>
      <w:numFmt w:val="upp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2233DB"/>
    <w:multiLevelType w:val="hybridMultilevel"/>
    <w:tmpl w:val="C6E4D014"/>
    <w:lvl w:ilvl="0" w:tplc="414A0868">
      <w:start w:val="1"/>
      <w:numFmt w:val="lowerLetter"/>
      <w:pStyle w:val="Lettere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79A3FEA"/>
    <w:multiLevelType w:val="hybridMultilevel"/>
    <w:tmpl w:val="372ACB36"/>
    <w:lvl w:ilvl="0" w:tplc="6344C314">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662416"/>
    <w:multiLevelType w:val="hybridMultilevel"/>
    <w:tmpl w:val="7CCC3A22"/>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0" w15:restartNumberingAfterBreak="0">
    <w:nsid w:val="50C54F6C"/>
    <w:multiLevelType w:val="hybridMultilevel"/>
    <w:tmpl w:val="5E880162"/>
    <w:lvl w:ilvl="0" w:tplc="D0AE2C22">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541E3E8A"/>
    <w:multiLevelType w:val="hybridMultilevel"/>
    <w:tmpl w:val="E000E54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2" w15:restartNumberingAfterBreak="0">
    <w:nsid w:val="5DE8655A"/>
    <w:multiLevelType w:val="multilevel"/>
    <w:tmpl w:val="5FE41984"/>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EAC3E5C"/>
    <w:multiLevelType w:val="hybridMultilevel"/>
    <w:tmpl w:val="5E94B3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3C64A5F"/>
    <w:multiLevelType w:val="hybridMultilevel"/>
    <w:tmpl w:val="C1348EB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10"/>
  </w:num>
  <w:num w:numId="2">
    <w:abstractNumId w:val="4"/>
  </w:num>
  <w:num w:numId="3">
    <w:abstractNumId w:val="0"/>
  </w:num>
  <w:num w:numId="4">
    <w:abstractNumId w:val="8"/>
  </w:num>
  <w:num w:numId="5">
    <w:abstractNumId w:val="2"/>
  </w:num>
  <w:num w:numId="6">
    <w:abstractNumId w:val="13"/>
  </w:num>
  <w:num w:numId="7">
    <w:abstractNumId w:val="7"/>
  </w:num>
  <w:num w:numId="8">
    <w:abstractNumId w:val="12"/>
  </w:num>
  <w:num w:numId="9">
    <w:abstractNumId w:val="8"/>
  </w:num>
  <w:num w:numId="10">
    <w:abstractNumId w:val="8"/>
  </w:num>
  <w:num w:numId="11">
    <w:abstractNumId w:val="8"/>
  </w:num>
  <w:num w:numId="12">
    <w:abstractNumId w:val="8"/>
  </w:num>
  <w:num w:numId="13">
    <w:abstractNumId w:val="8"/>
  </w:num>
  <w:num w:numId="14">
    <w:abstractNumId w:val="8"/>
  </w:num>
  <w:num w:numId="15">
    <w:abstractNumId w:val="4"/>
  </w:num>
  <w:num w:numId="16">
    <w:abstractNumId w:val="8"/>
  </w:num>
  <w:num w:numId="17">
    <w:abstractNumId w:val="14"/>
  </w:num>
  <w:num w:numId="18">
    <w:abstractNumId w:val="3"/>
  </w:num>
  <w:num w:numId="19">
    <w:abstractNumId w:val="11"/>
  </w:num>
  <w:num w:numId="20">
    <w:abstractNumId w:val="5"/>
  </w:num>
  <w:num w:numId="21">
    <w:abstractNumId w:val="6"/>
  </w:num>
  <w:num w:numId="22">
    <w:abstractNumId w:val="1"/>
  </w:num>
  <w:num w:numId="23">
    <w:abstractNumId w:val="8"/>
  </w:num>
  <w:num w:numId="24">
    <w:abstractNumId w:val="8"/>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D79"/>
    <w:rsid w:val="00031690"/>
    <w:rsid w:val="000355F3"/>
    <w:rsid w:val="00037A51"/>
    <w:rsid w:val="00045891"/>
    <w:rsid w:val="00054D79"/>
    <w:rsid w:val="00057885"/>
    <w:rsid w:val="000654E6"/>
    <w:rsid w:val="000657FC"/>
    <w:rsid w:val="0006758A"/>
    <w:rsid w:val="000727EE"/>
    <w:rsid w:val="00096B64"/>
    <w:rsid w:val="000A158F"/>
    <w:rsid w:val="000A7508"/>
    <w:rsid w:val="000C5251"/>
    <w:rsid w:val="000C6E2A"/>
    <w:rsid w:val="000E4F9D"/>
    <w:rsid w:val="000E705B"/>
    <w:rsid w:val="000E7C0D"/>
    <w:rsid w:val="00102E53"/>
    <w:rsid w:val="00114FB7"/>
    <w:rsid w:val="0011568A"/>
    <w:rsid w:val="00116907"/>
    <w:rsid w:val="001221AC"/>
    <w:rsid w:val="00123E3B"/>
    <w:rsid w:val="00135750"/>
    <w:rsid w:val="00143AE5"/>
    <w:rsid w:val="001504E4"/>
    <w:rsid w:val="001608CF"/>
    <w:rsid w:val="001744FF"/>
    <w:rsid w:val="001779E9"/>
    <w:rsid w:val="0018675B"/>
    <w:rsid w:val="001A4C8A"/>
    <w:rsid w:val="001B0215"/>
    <w:rsid w:val="001C18A4"/>
    <w:rsid w:val="001E0F3C"/>
    <w:rsid w:val="001E1EF1"/>
    <w:rsid w:val="001E24E7"/>
    <w:rsid w:val="001E6895"/>
    <w:rsid w:val="001F6E46"/>
    <w:rsid w:val="00200EE6"/>
    <w:rsid w:val="00202F4B"/>
    <w:rsid w:val="00206623"/>
    <w:rsid w:val="00210051"/>
    <w:rsid w:val="00215CE7"/>
    <w:rsid w:val="00224DDB"/>
    <w:rsid w:val="0022622D"/>
    <w:rsid w:val="002324D9"/>
    <w:rsid w:val="00244707"/>
    <w:rsid w:val="00247964"/>
    <w:rsid w:val="0025024E"/>
    <w:rsid w:val="00260620"/>
    <w:rsid w:val="00262757"/>
    <w:rsid w:val="0028388E"/>
    <w:rsid w:val="00284CE9"/>
    <w:rsid w:val="00294A0E"/>
    <w:rsid w:val="002A38FC"/>
    <w:rsid w:val="002B0C91"/>
    <w:rsid w:val="002C53E9"/>
    <w:rsid w:val="002D2222"/>
    <w:rsid w:val="002F37EC"/>
    <w:rsid w:val="002F3AA4"/>
    <w:rsid w:val="00311EEE"/>
    <w:rsid w:val="0031647E"/>
    <w:rsid w:val="00325128"/>
    <w:rsid w:val="00331E62"/>
    <w:rsid w:val="00334F10"/>
    <w:rsid w:val="00341B11"/>
    <w:rsid w:val="00342BB5"/>
    <w:rsid w:val="00350A4B"/>
    <w:rsid w:val="00353C87"/>
    <w:rsid w:val="0035535F"/>
    <w:rsid w:val="003628CD"/>
    <w:rsid w:val="00364CCC"/>
    <w:rsid w:val="00370545"/>
    <w:rsid w:val="00373B27"/>
    <w:rsid w:val="003759BC"/>
    <w:rsid w:val="00383BD0"/>
    <w:rsid w:val="003864C8"/>
    <w:rsid w:val="003B47D8"/>
    <w:rsid w:val="003B77DA"/>
    <w:rsid w:val="003D0973"/>
    <w:rsid w:val="003D2B6E"/>
    <w:rsid w:val="003D5832"/>
    <w:rsid w:val="003D5EA2"/>
    <w:rsid w:val="003E3952"/>
    <w:rsid w:val="003E68A6"/>
    <w:rsid w:val="003E6E25"/>
    <w:rsid w:val="003F45D2"/>
    <w:rsid w:val="004039C5"/>
    <w:rsid w:val="00407F71"/>
    <w:rsid w:val="00433AE9"/>
    <w:rsid w:val="00440B9F"/>
    <w:rsid w:val="00473801"/>
    <w:rsid w:val="00473EA0"/>
    <w:rsid w:val="00476DE9"/>
    <w:rsid w:val="00491264"/>
    <w:rsid w:val="004921C0"/>
    <w:rsid w:val="004A05D6"/>
    <w:rsid w:val="004D2707"/>
    <w:rsid w:val="004D47FF"/>
    <w:rsid w:val="004D6887"/>
    <w:rsid w:val="004E0F5F"/>
    <w:rsid w:val="004E6FA0"/>
    <w:rsid w:val="004E7B37"/>
    <w:rsid w:val="00500C17"/>
    <w:rsid w:val="005170ED"/>
    <w:rsid w:val="00523AC7"/>
    <w:rsid w:val="00534B19"/>
    <w:rsid w:val="0054695F"/>
    <w:rsid w:val="00547F93"/>
    <w:rsid w:val="00554A1F"/>
    <w:rsid w:val="00561893"/>
    <w:rsid w:val="00566272"/>
    <w:rsid w:val="00571030"/>
    <w:rsid w:val="005869F1"/>
    <w:rsid w:val="00587073"/>
    <w:rsid w:val="0059018A"/>
    <w:rsid w:val="005C3B00"/>
    <w:rsid w:val="005C4908"/>
    <w:rsid w:val="005C58DA"/>
    <w:rsid w:val="005D55A4"/>
    <w:rsid w:val="0063708A"/>
    <w:rsid w:val="00640059"/>
    <w:rsid w:val="0064190F"/>
    <w:rsid w:val="00645394"/>
    <w:rsid w:val="00656A0B"/>
    <w:rsid w:val="00661D21"/>
    <w:rsid w:val="006761F1"/>
    <w:rsid w:val="0069758D"/>
    <w:rsid w:val="006A14BD"/>
    <w:rsid w:val="006B05C4"/>
    <w:rsid w:val="006B067B"/>
    <w:rsid w:val="006C3098"/>
    <w:rsid w:val="006C7517"/>
    <w:rsid w:val="006D0F79"/>
    <w:rsid w:val="006E2533"/>
    <w:rsid w:val="006E5D4D"/>
    <w:rsid w:val="006E7FAD"/>
    <w:rsid w:val="0070090F"/>
    <w:rsid w:val="007130B4"/>
    <w:rsid w:val="007302E6"/>
    <w:rsid w:val="007344F1"/>
    <w:rsid w:val="00735C81"/>
    <w:rsid w:val="00740178"/>
    <w:rsid w:val="00751CFD"/>
    <w:rsid w:val="0077633F"/>
    <w:rsid w:val="00782C39"/>
    <w:rsid w:val="007A0217"/>
    <w:rsid w:val="007A2AAF"/>
    <w:rsid w:val="007B2ED6"/>
    <w:rsid w:val="007B6278"/>
    <w:rsid w:val="007C5F0A"/>
    <w:rsid w:val="007F4AFD"/>
    <w:rsid w:val="007F640F"/>
    <w:rsid w:val="00802F66"/>
    <w:rsid w:val="0080378D"/>
    <w:rsid w:val="00811CC1"/>
    <w:rsid w:val="00813AA0"/>
    <w:rsid w:val="00814AFA"/>
    <w:rsid w:val="00833E30"/>
    <w:rsid w:val="0084240D"/>
    <w:rsid w:val="00850319"/>
    <w:rsid w:val="00865326"/>
    <w:rsid w:val="00865DA9"/>
    <w:rsid w:val="00874C47"/>
    <w:rsid w:val="00876746"/>
    <w:rsid w:val="00876AC3"/>
    <w:rsid w:val="00880F55"/>
    <w:rsid w:val="00884FBD"/>
    <w:rsid w:val="00895CDA"/>
    <w:rsid w:val="008B2D6D"/>
    <w:rsid w:val="008D4B3C"/>
    <w:rsid w:val="00917D7F"/>
    <w:rsid w:val="00921561"/>
    <w:rsid w:val="0092463D"/>
    <w:rsid w:val="0093637B"/>
    <w:rsid w:val="00974EEF"/>
    <w:rsid w:val="00982EA9"/>
    <w:rsid w:val="009959E2"/>
    <w:rsid w:val="009A1EEC"/>
    <w:rsid w:val="009B6CB5"/>
    <w:rsid w:val="009C46CA"/>
    <w:rsid w:val="009D29D1"/>
    <w:rsid w:val="009D3837"/>
    <w:rsid w:val="009D6766"/>
    <w:rsid w:val="009F3329"/>
    <w:rsid w:val="00A01571"/>
    <w:rsid w:val="00A040A7"/>
    <w:rsid w:val="00A22FAA"/>
    <w:rsid w:val="00A26B11"/>
    <w:rsid w:val="00A303A9"/>
    <w:rsid w:val="00A4628F"/>
    <w:rsid w:val="00A754ED"/>
    <w:rsid w:val="00AB071E"/>
    <w:rsid w:val="00AB0E27"/>
    <w:rsid w:val="00AB6847"/>
    <w:rsid w:val="00AD42B6"/>
    <w:rsid w:val="00AE5B98"/>
    <w:rsid w:val="00AF14D9"/>
    <w:rsid w:val="00B00F2B"/>
    <w:rsid w:val="00B10A93"/>
    <w:rsid w:val="00B152BF"/>
    <w:rsid w:val="00B20211"/>
    <w:rsid w:val="00B22265"/>
    <w:rsid w:val="00B317A0"/>
    <w:rsid w:val="00B321C4"/>
    <w:rsid w:val="00B4147C"/>
    <w:rsid w:val="00B47A14"/>
    <w:rsid w:val="00B540A6"/>
    <w:rsid w:val="00B61D82"/>
    <w:rsid w:val="00B74E74"/>
    <w:rsid w:val="00B7541D"/>
    <w:rsid w:val="00B769F1"/>
    <w:rsid w:val="00B76E08"/>
    <w:rsid w:val="00B860B7"/>
    <w:rsid w:val="00B92B57"/>
    <w:rsid w:val="00B959D9"/>
    <w:rsid w:val="00BA1816"/>
    <w:rsid w:val="00BB01D6"/>
    <w:rsid w:val="00BC7AE8"/>
    <w:rsid w:val="00BD24CD"/>
    <w:rsid w:val="00BD28BB"/>
    <w:rsid w:val="00BE08A6"/>
    <w:rsid w:val="00BE3477"/>
    <w:rsid w:val="00BE4392"/>
    <w:rsid w:val="00BE62A0"/>
    <w:rsid w:val="00BF77AD"/>
    <w:rsid w:val="00C02765"/>
    <w:rsid w:val="00C371EC"/>
    <w:rsid w:val="00C571BF"/>
    <w:rsid w:val="00CA5B91"/>
    <w:rsid w:val="00CE3A4E"/>
    <w:rsid w:val="00CE405D"/>
    <w:rsid w:val="00CF0751"/>
    <w:rsid w:val="00D019AC"/>
    <w:rsid w:val="00D154D5"/>
    <w:rsid w:val="00D31ED7"/>
    <w:rsid w:val="00D43AB2"/>
    <w:rsid w:val="00D71543"/>
    <w:rsid w:val="00D76BFB"/>
    <w:rsid w:val="00D8742D"/>
    <w:rsid w:val="00D95E94"/>
    <w:rsid w:val="00DC2DF8"/>
    <w:rsid w:val="00DD40B7"/>
    <w:rsid w:val="00DD77D5"/>
    <w:rsid w:val="00DE63D3"/>
    <w:rsid w:val="00DF524D"/>
    <w:rsid w:val="00E023E3"/>
    <w:rsid w:val="00E13A66"/>
    <w:rsid w:val="00E21446"/>
    <w:rsid w:val="00E32106"/>
    <w:rsid w:val="00E4080C"/>
    <w:rsid w:val="00E70372"/>
    <w:rsid w:val="00E778C7"/>
    <w:rsid w:val="00E919C9"/>
    <w:rsid w:val="00E974E0"/>
    <w:rsid w:val="00EA40AE"/>
    <w:rsid w:val="00EC00EF"/>
    <w:rsid w:val="00EC6461"/>
    <w:rsid w:val="00ED02A6"/>
    <w:rsid w:val="00EF11FA"/>
    <w:rsid w:val="00EF464E"/>
    <w:rsid w:val="00EF504D"/>
    <w:rsid w:val="00EF5E13"/>
    <w:rsid w:val="00F0139B"/>
    <w:rsid w:val="00F05CBE"/>
    <w:rsid w:val="00F1036E"/>
    <w:rsid w:val="00F10556"/>
    <w:rsid w:val="00F3103A"/>
    <w:rsid w:val="00F34768"/>
    <w:rsid w:val="00F36B87"/>
    <w:rsid w:val="00F40C2B"/>
    <w:rsid w:val="00F43658"/>
    <w:rsid w:val="00F45FFF"/>
    <w:rsid w:val="00F47C46"/>
    <w:rsid w:val="00F53F32"/>
    <w:rsid w:val="00F56AE6"/>
    <w:rsid w:val="00F57752"/>
    <w:rsid w:val="00F8235D"/>
    <w:rsid w:val="00F8526E"/>
    <w:rsid w:val="00F86162"/>
    <w:rsid w:val="00F86F76"/>
    <w:rsid w:val="00FA5781"/>
    <w:rsid w:val="00FB2C57"/>
    <w:rsid w:val="00FB4EF6"/>
    <w:rsid w:val="00FB5768"/>
    <w:rsid w:val="00FB6F72"/>
    <w:rsid w:val="00FC07CA"/>
    <w:rsid w:val="00FD110D"/>
    <w:rsid w:val="00FD41CF"/>
    <w:rsid w:val="00FD685D"/>
    <w:rsid w:val="00FE3DDF"/>
    <w:rsid w:val="00FE5477"/>
    <w:rsid w:val="00FF3137"/>
    <w:rsid w:val="00FF6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1199B8"/>
  <w15:chartTrackingRefBased/>
  <w15:docId w15:val="{7A039F58-7D8D-4595-8C07-2DEC52D50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64CCC"/>
    <w:pPr>
      <w:spacing w:before="240"/>
    </w:pPr>
    <w:rPr>
      <w:rFonts w:asciiTheme="minorHAnsi" w:hAnsiTheme="minorHAns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054D79"/>
    <w:pPr>
      <w:overflowPunct w:val="0"/>
      <w:autoSpaceDE w:val="0"/>
      <w:autoSpaceDN w:val="0"/>
      <w:adjustRightInd w:val="0"/>
      <w:textAlignment w:val="baseline"/>
    </w:pPr>
    <w:rPr>
      <w:sz w:val="24"/>
    </w:rPr>
  </w:style>
  <w:style w:type="paragraph" w:customStyle="1" w:styleId="Lettered">
    <w:name w:val="Lettered"/>
    <w:basedOn w:val="Normal"/>
    <w:qFormat/>
    <w:rsid w:val="00865DA9"/>
    <w:pPr>
      <w:numPr>
        <w:numId w:val="7"/>
      </w:numPr>
      <w:contextualSpacing/>
    </w:pPr>
  </w:style>
  <w:style w:type="paragraph" w:styleId="BalloonText">
    <w:name w:val="Balloon Text"/>
    <w:basedOn w:val="Normal"/>
    <w:link w:val="BalloonTextChar"/>
    <w:rsid w:val="00AD42B6"/>
    <w:rPr>
      <w:rFonts w:ascii="Tahoma" w:hAnsi="Tahoma" w:cs="Tahoma"/>
      <w:sz w:val="16"/>
      <w:szCs w:val="16"/>
    </w:rPr>
  </w:style>
  <w:style w:type="character" w:customStyle="1" w:styleId="BalloonTextChar">
    <w:name w:val="Balloon Text Char"/>
    <w:link w:val="BalloonText"/>
    <w:rsid w:val="00AD42B6"/>
    <w:rPr>
      <w:rFonts w:ascii="Tahoma" w:hAnsi="Tahoma" w:cs="Tahoma"/>
      <w:sz w:val="16"/>
      <w:szCs w:val="16"/>
    </w:rPr>
  </w:style>
  <w:style w:type="paragraph" w:styleId="ListParagraph">
    <w:name w:val="List Paragraph"/>
    <w:basedOn w:val="Normal"/>
    <w:uiPriority w:val="34"/>
    <w:qFormat/>
    <w:rsid w:val="002C53E9"/>
    <w:pPr>
      <w:numPr>
        <w:numId w:val="4"/>
      </w:numPr>
      <w:tabs>
        <w:tab w:val="left" w:pos="900"/>
      </w:tabs>
      <w:contextualSpacing/>
    </w:pPr>
  </w:style>
  <w:style w:type="table" w:styleId="TableGrid">
    <w:name w:val="Table Grid"/>
    <w:basedOn w:val="TableNormal"/>
    <w:uiPriority w:val="39"/>
    <w:rsid w:val="00554A1F"/>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BC7AE8"/>
    <w:pPr>
      <w:tabs>
        <w:tab w:val="center" w:pos="4680"/>
        <w:tab w:val="right" w:pos="9360"/>
      </w:tabs>
    </w:pPr>
  </w:style>
  <w:style w:type="character" w:customStyle="1" w:styleId="HeaderChar">
    <w:name w:val="Header Char"/>
    <w:basedOn w:val="DefaultParagraphFont"/>
    <w:link w:val="Header"/>
    <w:rsid w:val="00BC7AE8"/>
  </w:style>
  <w:style w:type="paragraph" w:styleId="Footer">
    <w:name w:val="footer"/>
    <w:basedOn w:val="Normal"/>
    <w:link w:val="FooterChar"/>
    <w:uiPriority w:val="99"/>
    <w:rsid w:val="00BC7AE8"/>
    <w:pPr>
      <w:tabs>
        <w:tab w:val="center" w:pos="4680"/>
        <w:tab w:val="right" w:pos="9360"/>
      </w:tabs>
    </w:pPr>
  </w:style>
  <w:style w:type="character" w:customStyle="1" w:styleId="FooterChar">
    <w:name w:val="Footer Char"/>
    <w:basedOn w:val="DefaultParagraphFont"/>
    <w:link w:val="Footer"/>
    <w:uiPriority w:val="99"/>
    <w:rsid w:val="00BC7AE8"/>
  </w:style>
  <w:style w:type="paragraph" w:styleId="Title">
    <w:name w:val="Title"/>
    <w:next w:val="Normal"/>
    <w:link w:val="TitleChar"/>
    <w:qFormat/>
    <w:rsid w:val="00364CCC"/>
    <w:pPr>
      <w:jc w:val="center"/>
    </w:pPr>
    <w:rPr>
      <w:rFonts w:ascii="Calibri" w:hAnsi="Calibri" w:cs="Arial"/>
      <w:b/>
      <w:sz w:val="28"/>
      <w:szCs w:val="28"/>
    </w:rPr>
  </w:style>
  <w:style w:type="character" w:customStyle="1" w:styleId="TitleChar">
    <w:name w:val="Title Char"/>
    <w:basedOn w:val="DefaultParagraphFont"/>
    <w:link w:val="Title"/>
    <w:rsid w:val="00364CCC"/>
    <w:rPr>
      <w:rFonts w:ascii="Calibri" w:hAnsi="Calibri" w:cs="Arial"/>
      <w:b/>
      <w:sz w:val="28"/>
      <w:szCs w:val="28"/>
    </w:rPr>
  </w:style>
  <w:style w:type="paragraph" w:customStyle="1" w:styleId="NumberedParagraph">
    <w:name w:val="Numbered Paragraph"/>
    <w:basedOn w:val="Normal"/>
    <w:next w:val="Indented"/>
    <w:qFormat/>
    <w:rsid w:val="000E4F9D"/>
    <w:pPr>
      <w:numPr>
        <w:numId w:val="2"/>
      </w:numPr>
      <w:ind w:left="450" w:hanging="450"/>
    </w:pPr>
  </w:style>
  <w:style w:type="paragraph" w:customStyle="1" w:styleId="Indented">
    <w:name w:val="Indented"/>
    <w:basedOn w:val="Normal"/>
    <w:next w:val="NumberedParagraph"/>
    <w:qFormat/>
    <w:rsid w:val="000E4F9D"/>
    <w:pPr>
      <w:ind w:left="450"/>
    </w:pPr>
  </w:style>
  <w:style w:type="character" w:styleId="CommentReference">
    <w:name w:val="annotation reference"/>
    <w:basedOn w:val="DefaultParagraphFont"/>
    <w:rsid w:val="00143AE5"/>
    <w:rPr>
      <w:sz w:val="16"/>
      <w:szCs w:val="16"/>
    </w:rPr>
  </w:style>
  <w:style w:type="paragraph" w:styleId="CommentText">
    <w:name w:val="annotation text"/>
    <w:basedOn w:val="Normal"/>
    <w:link w:val="CommentTextChar"/>
    <w:rsid w:val="001E6895"/>
    <w:rPr>
      <w:rFonts w:ascii="Arial" w:hAnsi="Arial"/>
      <w:sz w:val="24"/>
      <w:szCs w:val="20"/>
    </w:rPr>
  </w:style>
  <w:style w:type="character" w:customStyle="1" w:styleId="CommentTextChar">
    <w:name w:val="Comment Text Char"/>
    <w:basedOn w:val="DefaultParagraphFont"/>
    <w:link w:val="CommentText"/>
    <w:rsid w:val="001E6895"/>
    <w:rPr>
      <w:rFonts w:ascii="Arial" w:hAnsi="Arial"/>
      <w:sz w:val="24"/>
    </w:rPr>
  </w:style>
  <w:style w:type="paragraph" w:styleId="CommentSubject">
    <w:name w:val="annotation subject"/>
    <w:basedOn w:val="CommentText"/>
    <w:next w:val="CommentText"/>
    <w:link w:val="CommentSubjectChar"/>
    <w:rsid w:val="00143AE5"/>
    <w:rPr>
      <w:b/>
      <w:bCs/>
    </w:rPr>
  </w:style>
  <w:style w:type="character" w:customStyle="1" w:styleId="CommentSubjectChar">
    <w:name w:val="Comment Subject Char"/>
    <w:basedOn w:val="CommentTextChar"/>
    <w:link w:val="CommentSubject"/>
    <w:rsid w:val="00143AE5"/>
    <w:rPr>
      <w:rFonts w:ascii="Arial" w:hAnsi="Arial"/>
      <w:b/>
      <w:bCs/>
      <w:sz w:val="24"/>
    </w:rPr>
  </w:style>
  <w:style w:type="paragraph" w:styleId="Revision">
    <w:name w:val="Revision"/>
    <w:hidden/>
    <w:uiPriority w:val="99"/>
    <w:semiHidden/>
    <w:rsid w:val="00876746"/>
    <w:rPr>
      <w:rFonts w:asciiTheme="minorHAnsi" w:hAnsiTheme="minorHAnsi"/>
      <w:sz w:val="28"/>
      <w:szCs w:val="28"/>
    </w:rPr>
  </w:style>
  <w:style w:type="character" w:styleId="Hyperlink">
    <w:name w:val="Hyperlink"/>
    <w:basedOn w:val="DefaultParagraphFont"/>
    <w:rsid w:val="00876746"/>
    <w:rPr>
      <w:color w:val="0563C1" w:themeColor="hyperlink"/>
      <w:u w:val="single"/>
    </w:rPr>
  </w:style>
  <w:style w:type="character" w:customStyle="1" w:styleId="UnresolvedMention1">
    <w:name w:val="Unresolved Mention1"/>
    <w:basedOn w:val="DefaultParagraphFont"/>
    <w:uiPriority w:val="99"/>
    <w:semiHidden/>
    <w:unhideWhenUsed/>
    <w:rsid w:val="00876746"/>
    <w:rPr>
      <w:color w:val="808080"/>
      <w:shd w:val="clear" w:color="auto" w:fill="E6E6E6"/>
    </w:rPr>
  </w:style>
  <w:style w:type="character" w:customStyle="1" w:styleId="highlight">
    <w:name w:val="highlight"/>
    <w:basedOn w:val="DefaultParagraphFont"/>
    <w:rsid w:val="00A462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2117898">
      <w:bodyDiv w:val="1"/>
      <w:marLeft w:val="0"/>
      <w:marRight w:val="0"/>
      <w:marTop w:val="0"/>
      <w:marBottom w:val="0"/>
      <w:divBdr>
        <w:top w:val="none" w:sz="0" w:space="0" w:color="auto"/>
        <w:left w:val="none" w:sz="0" w:space="0" w:color="auto"/>
        <w:bottom w:val="none" w:sz="0" w:space="0" w:color="auto"/>
        <w:right w:val="none" w:sz="0" w:space="0" w:color="auto"/>
      </w:divBdr>
    </w:div>
    <w:div w:id="1831362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49940-8927-4577-93D8-841D05AEB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738</Words>
  <Characters>4212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Chapter 50</vt:lpstr>
    </vt:vector>
  </TitlesOfParts>
  <Company>Maine Health Data Organization</Company>
  <LinksUpToDate>false</LinksUpToDate>
  <CharactersWithSpaces>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50</dc:title>
  <dc:subject/>
  <dc:creator>tuckd</dc:creator>
  <cp:keywords/>
  <cp:lastModifiedBy>Bonsant, Kimberly</cp:lastModifiedBy>
  <cp:revision>2</cp:revision>
  <cp:lastPrinted>2018-08-14T12:46:00Z</cp:lastPrinted>
  <dcterms:created xsi:type="dcterms:W3CDTF">2020-01-03T16:03:00Z</dcterms:created>
  <dcterms:modified xsi:type="dcterms:W3CDTF">2020-01-03T16:03:00Z</dcterms:modified>
</cp:coreProperties>
</file>