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1C2E" w14:textId="77777777" w:rsidR="0077748C" w:rsidRPr="007F5C89" w:rsidRDefault="0077748C" w:rsidP="0077748C">
      <w:pPr>
        <w:pStyle w:val="Title"/>
        <w:pBdr>
          <w:top w:val="single" w:sz="4" w:space="1" w:color="auto"/>
          <w:left w:val="single" w:sz="4" w:space="4" w:color="auto"/>
          <w:bottom w:val="single" w:sz="4" w:space="1" w:color="auto"/>
          <w:right w:val="single" w:sz="4" w:space="4" w:color="auto"/>
        </w:pBdr>
        <w:rPr>
          <w:sz w:val="24"/>
          <w:szCs w:val="24"/>
        </w:rPr>
      </w:pPr>
    </w:p>
    <w:p w14:paraId="2BF0E24F" w14:textId="77777777" w:rsidR="0077748C" w:rsidRPr="00491264" w:rsidRDefault="0077748C" w:rsidP="0077748C">
      <w:pPr>
        <w:pStyle w:val="Title"/>
        <w:pBdr>
          <w:top w:val="single" w:sz="4" w:space="1" w:color="auto"/>
          <w:left w:val="single" w:sz="4" w:space="4" w:color="auto"/>
          <w:bottom w:val="single" w:sz="4" w:space="1" w:color="auto"/>
          <w:right w:val="single" w:sz="4" w:space="4" w:color="auto"/>
        </w:pBdr>
        <w:rPr>
          <w:sz w:val="32"/>
          <w:szCs w:val="32"/>
        </w:rPr>
      </w:pPr>
      <w:r w:rsidRPr="00491264">
        <w:rPr>
          <w:sz w:val="32"/>
          <w:szCs w:val="32"/>
        </w:rPr>
        <w:t xml:space="preserve">90-590 Maine Health Data Organization </w:t>
      </w:r>
    </w:p>
    <w:p w14:paraId="5326C31F" w14:textId="136DA97C" w:rsidR="0077748C" w:rsidRPr="007F5C89" w:rsidRDefault="0077748C" w:rsidP="0077748C">
      <w:pPr>
        <w:pBdr>
          <w:top w:val="single" w:sz="4" w:space="1" w:color="auto"/>
          <w:left w:val="single" w:sz="4" w:space="4" w:color="auto"/>
          <w:bottom w:val="single" w:sz="4" w:space="1" w:color="auto"/>
          <w:right w:val="single" w:sz="4" w:space="4" w:color="auto"/>
        </w:pBdr>
        <w:jc w:val="center"/>
        <w:rPr>
          <w:b/>
        </w:rPr>
      </w:pPr>
      <w:r w:rsidRPr="007F5C89">
        <w:rPr>
          <w:b/>
        </w:rPr>
        <w:t xml:space="preserve">Public Hearing </w:t>
      </w:r>
      <w:r w:rsidR="001A48E0">
        <w:rPr>
          <w:b/>
        </w:rPr>
        <w:t>–</w:t>
      </w:r>
      <w:r w:rsidRPr="007F5C89">
        <w:rPr>
          <w:b/>
        </w:rPr>
        <w:t xml:space="preserve"> </w:t>
      </w:r>
      <w:r w:rsidR="0076278A">
        <w:rPr>
          <w:b/>
        </w:rPr>
        <w:t>October 6, 2022</w:t>
      </w:r>
    </w:p>
    <w:p w14:paraId="11184E9C" w14:textId="77777777" w:rsidR="0077748C" w:rsidRPr="00491264" w:rsidRDefault="0077748C" w:rsidP="0077748C">
      <w:pPr>
        <w:pBdr>
          <w:top w:val="single" w:sz="4" w:space="1" w:color="auto"/>
          <w:left w:val="single" w:sz="4" w:space="4" w:color="auto"/>
          <w:bottom w:val="single" w:sz="4" w:space="1" w:color="auto"/>
          <w:right w:val="single" w:sz="4" w:space="4" w:color="auto"/>
        </w:pBdr>
        <w:spacing w:before="0"/>
        <w:jc w:val="center"/>
        <w:rPr>
          <w:b/>
          <w:sz w:val="24"/>
          <w:szCs w:val="24"/>
        </w:rPr>
      </w:pPr>
    </w:p>
    <w:p w14:paraId="6C8C820C" w14:textId="77777777" w:rsidR="0077748C" w:rsidRPr="00312786" w:rsidRDefault="0077748C" w:rsidP="0077748C">
      <w:pPr>
        <w:pStyle w:val="Title"/>
        <w:rPr>
          <w:sz w:val="24"/>
          <w:szCs w:val="24"/>
        </w:rPr>
      </w:pPr>
    </w:p>
    <w:p w14:paraId="15BD5D77" w14:textId="044F6E15" w:rsidR="0077748C" w:rsidRDefault="00C1442F" w:rsidP="00A95230">
      <w:pPr>
        <w:pStyle w:val="Title"/>
        <w:spacing w:before="240"/>
      </w:pPr>
      <w:r>
        <w:t>Basis Statement</w:t>
      </w:r>
      <w:r w:rsidR="0076278A">
        <w:t xml:space="preserve"> &amp; Summary of Changes</w:t>
      </w:r>
    </w:p>
    <w:p w14:paraId="5DAC282C" w14:textId="6F275AB8" w:rsidR="00A95230" w:rsidRPr="00A95230" w:rsidRDefault="00370545" w:rsidP="00A95230">
      <w:pPr>
        <w:pStyle w:val="Title"/>
        <w:spacing w:before="240"/>
        <w:rPr>
          <w:b w:val="0"/>
          <w:sz w:val="24"/>
          <w:szCs w:val="24"/>
        </w:rPr>
      </w:pPr>
      <w:r w:rsidRPr="0077748C">
        <w:rPr>
          <w:sz w:val="24"/>
          <w:szCs w:val="24"/>
        </w:rPr>
        <w:br/>
      </w:r>
      <w:r w:rsidRPr="00364CCC">
        <w:t xml:space="preserve">Chapter </w:t>
      </w:r>
      <w:r w:rsidR="00A17EA1">
        <w:t>247</w:t>
      </w:r>
      <w:r w:rsidRPr="00364CCC">
        <w:t xml:space="preserve">:  Uniform Reporting System </w:t>
      </w:r>
      <w:r w:rsidR="00A95230" w:rsidRPr="00A95230">
        <w:t xml:space="preserve">for </w:t>
      </w:r>
      <w:r w:rsidR="00640111" w:rsidRPr="007953B3">
        <w:t>Non-Claims Based</w:t>
      </w:r>
      <w:r w:rsidR="00A17EA1" w:rsidRPr="007953B3">
        <w:t xml:space="preserve"> </w:t>
      </w:r>
      <w:r w:rsidR="00640111" w:rsidRPr="007953B3">
        <w:t>Payments</w:t>
      </w:r>
      <w:r w:rsidR="00A95230" w:rsidRPr="00A95230">
        <w:t xml:space="preserve"> </w:t>
      </w:r>
      <w:r w:rsidR="007953B3" w:rsidRPr="007953B3">
        <w:rPr>
          <w:u w:val="single"/>
        </w:rPr>
        <w:t xml:space="preserve">and Other </w:t>
      </w:r>
      <w:r w:rsidR="0076278A" w:rsidRPr="007953B3">
        <w:rPr>
          <w:u w:val="single"/>
        </w:rPr>
        <w:t>Supplemental</w:t>
      </w:r>
      <w:r w:rsidR="0076278A" w:rsidRPr="00073CC1">
        <w:rPr>
          <w:u w:val="single"/>
        </w:rPr>
        <w:t xml:space="preserve"> Health Care Data Sets</w:t>
      </w:r>
      <w:r w:rsidR="0076278A">
        <w:t xml:space="preserve"> </w:t>
      </w:r>
      <w:r w:rsidR="00A95230" w:rsidRPr="00A95230">
        <w:rPr>
          <w:b w:val="0"/>
          <w:sz w:val="24"/>
          <w:szCs w:val="24"/>
        </w:rPr>
        <w:t>(</w:t>
      </w:r>
      <w:r w:rsidR="00640111">
        <w:rPr>
          <w:b w:val="0"/>
          <w:sz w:val="24"/>
          <w:szCs w:val="24"/>
        </w:rPr>
        <w:t>Routine Technical)</w:t>
      </w:r>
    </w:p>
    <w:p w14:paraId="7C3083A4" w14:textId="3EF2FF60" w:rsidR="00473801" w:rsidRDefault="00473801" w:rsidP="0077748C">
      <w:pPr>
        <w:pStyle w:val="Title"/>
      </w:pPr>
    </w:p>
    <w:p w14:paraId="1643EC66" w14:textId="4C18C549" w:rsidR="0076278A" w:rsidRPr="00553354" w:rsidRDefault="0076278A" w:rsidP="00553354">
      <w:pPr>
        <w:pStyle w:val="DefaultText"/>
      </w:pPr>
      <w:r w:rsidRPr="00A1575A">
        <w:t xml:space="preserve">SUMMARY: </w:t>
      </w:r>
      <w:r w:rsidR="00A1575A" w:rsidRPr="00A1575A">
        <w:t>This Chapter contains the provisions for filing non-claims-based payment information and other supplemental health care data sets.</w:t>
      </w:r>
    </w:p>
    <w:p w14:paraId="1F8D802E" w14:textId="200DC7AE" w:rsidR="0076278A" w:rsidRPr="000355F3" w:rsidRDefault="0076278A" w:rsidP="0076278A">
      <w:pPr>
        <w:pStyle w:val="DefaultText"/>
      </w:pPr>
      <w:r>
        <w:t xml:space="preserve">The MHDO Board met </w:t>
      </w:r>
      <w:r w:rsidRPr="00FA5EE5">
        <w:t>on April 7, 2022</w:t>
      </w:r>
      <w:r>
        <w:t xml:space="preserve"> and authorized the MHDO to initiate rulemaking to Chapter </w:t>
      </w:r>
      <w:r w:rsidR="00B467B6">
        <w:t>247</w:t>
      </w:r>
      <w:r>
        <w:t xml:space="preserve">, as required under 22 M.R.S. </w:t>
      </w:r>
      <w:r w:rsidRPr="009E48A4">
        <w:t>§8705-</w:t>
      </w:r>
      <w:r>
        <w:t>A</w:t>
      </w:r>
      <w:r w:rsidR="00FA5EE5">
        <w:t>.</w:t>
      </w:r>
      <w:r w:rsidR="00C178B6">
        <w:t xml:space="preserve">  The primary reason for this rulemaking is for the Board to adopt the changes needed because of PL 2021, c. 603.</w:t>
      </w:r>
    </w:p>
    <w:p w14:paraId="127B3377" w14:textId="77777777" w:rsidR="0076278A" w:rsidRDefault="0076278A" w:rsidP="0076278A">
      <w:pPr>
        <w:pStyle w:val="DefaultText"/>
      </w:pPr>
      <w:r w:rsidRPr="00311EEE">
        <w:t>The following represent the</w:t>
      </w:r>
      <w:r>
        <w:t xml:space="preserve"> proposed</w:t>
      </w:r>
      <w:r w:rsidRPr="00311EEE">
        <w:t xml:space="preserve"> changes to the rule and the rationale for these changes</w:t>
      </w:r>
      <w:r>
        <w:t>:</w:t>
      </w:r>
    </w:p>
    <w:p w14:paraId="5B7A1791" w14:textId="2CFC6AA7" w:rsidR="003C3A76" w:rsidRDefault="003C3A76" w:rsidP="001D1A57">
      <w:pPr>
        <w:spacing w:before="0"/>
        <w:rPr>
          <w:rFonts w:ascii="Calibri" w:hAnsi="Calibri" w:cs="Arial"/>
          <w:b/>
          <w:color w:val="000000"/>
          <w:sz w:val="24"/>
          <w:szCs w:val="24"/>
        </w:rPr>
      </w:pPr>
    </w:p>
    <w:p w14:paraId="738513BA" w14:textId="24B45B05" w:rsidR="004D03B8" w:rsidRDefault="002D59D4"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 xml:space="preserve">Rule </w:t>
      </w:r>
      <w:r w:rsidR="004D03B8">
        <w:rPr>
          <w:b/>
          <w:bCs/>
          <w:sz w:val="24"/>
          <w:szCs w:val="24"/>
        </w:rPr>
        <w:t>Title</w:t>
      </w:r>
    </w:p>
    <w:p w14:paraId="40EB007E" w14:textId="14C70803" w:rsidR="00AC4A2E" w:rsidRPr="00CE391B" w:rsidRDefault="00AC4A2E"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sidRPr="00CE391B">
        <w:rPr>
          <w:sz w:val="24"/>
          <w:szCs w:val="24"/>
        </w:rPr>
        <w:t>-Added “and Other Supplemental</w:t>
      </w:r>
      <w:r w:rsidR="0014671D" w:rsidRPr="00CE391B">
        <w:rPr>
          <w:sz w:val="24"/>
          <w:szCs w:val="24"/>
        </w:rPr>
        <w:t xml:space="preserve"> Health Care Data Sets”</w:t>
      </w:r>
      <w:r w:rsidR="00CE391B" w:rsidRPr="00CE391B">
        <w:rPr>
          <w:sz w:val="24"/>
          <w:szCs w:val="24"/>
        </w:rPr>
        <w:t>.</w:t>
      </w:r>
      <w:r w:rsidR="00B6563C">
        <w:rPr>
          <w:sz w:val="24"/>
          <w:szCs w:val="24"/>
        </w:rPr>
        <w:t xml:space="preserve"> (page 1)</w:t>
      </w:r>
    </w:p>
    <w:p w14:paraId="2D2065DB" w14:textId="62F7D404" w:rsidR="00CE391B" w:rsidRDefault="00B6563C" w:rsidP="00B6563C">
      <w:pPr>
        <w:pStyle w:val="DefaultText"/>
        <w:ind w:left="720"/>
        <w:rPr>
          <w:b/>
          <w:bCs/>
          <w:szCs w:val="24"/>
        </w:rPr>
      </w:pPr>
      <w:r>
        <w:rPr>
          <w:b/>
          <w:bCs/>
          <w:szCs w:val="24"/>
        </w:rPr>
        <w:t xml:space="preserve">Rationale: </w:t>
      </w:r>
      <w:r w:rsidR="00C563E6">
        <w:rPr>
          <w:szCs w:val="24"/>
        </w:rPr>
        <w:t>G</w:t>
      </w:r>
      <w:r w:rsidR="00C563E6" w:rsidRPr="00742F93">
        <w:rPr>
          <w:szCs w:val="24"/>
        </w:rPr>
        <w:t xml:space="preserve">eneralizes the scope of </w:t>
      </w:r>
      <w:r w:rsidR="00C563E6">
        <w:rPr>
          <w:szCs w:val="24"/>
        </w:rPr>
        <w:t xml:space="preserve">uniform reporting under </w:t>
      </w:r>
      <w:r w:rsidR="00C563E6" w:rsidRPr="00742F93">
        <w:rPr>
          <w:szCs w:val="24"/>
        </w:rPr>
        <w:t>Chapter 247</w:t>
      </w:r>
      <w:r w:rsidR="00C563E6">
        <w:rPr>
          <w:szCs w:val="24"/>
        </w:rPr>
        <w:t xml:space="preserve">, which facilitates </w:t>
      </w:r>
      <w:r w:rsidR="00BC35E9">
        <w:rPr>
          <w:szCs w:val="24"/>
        </w:rPr>
        <w:t>the</w:t>
      </w:r>
      <w:r w:rsidR="00C563E6">
        <w:rPr>
          <w:szCs w:val="24"/>
        </w:rPr>
        <w:t xml:space="preserve"> collection and </w:t>
      </w:r>
      <w:r w:rsidR="00BC35E9">
        <w:rPr>
          <w:szCs w:val="24"/>
        </w:rPr>
        <w:t>reporting</w:t>
      </w:r>
      <w:r w:rsidR="00C563E6">
        <w:rPr>
          <w:szCs w:val="24"/>
        </w:rPr>
        <w:t xml:space="preserve"> of supplemental health care data as additional reporting requirements are identified</w:t>
      </w:r>
      <w:r w:rsidR="00CD474F">
        <w:rPr>
          <w:szCs w:val="24"/>
        </w:rPr>
        <w:t>,</w:t>
      </w:r>
      <w:r w:rsidR="00E7468E">
        <w:rPr>
          <w:szCs w:val="24"/>
        </w:rPr>
        <w:t xml:space="preserve"> starting with</w:t>
      </w:r>
      <w:r w:rsidR="00C46B50">
        <w:rPr>
          <w:szCs w:val="24"/>
        </w:rPr>
        <w:t xml:space="preserve"> </w:t>
      </w:r>
      <w:r w:rsidR="00D817F8">
        <w:rPr>
          <w:szCs w:val="24"/>
        </w:rPr>
        <w:t xml:space="preserve">behavioral health care </w:t>
      </w:r>
      <w:r w:rsidR="00271FD1">
        <w:rPr>
          <w:szCs w:val="24"/>
        </w:rPr>
        <w:t xml:space="preserve">payment information </w:t>
      </w:r>
      <w:r w:rsidR="00FE2CBC">
        <w:rPr>
          <w:szCs w:val="24"/>
        </w:rPr>
        <w:t>referenced in</w:t>
      </w:r>
      <w:r w:rsidR="000E4427">
        <w:rPr>
          <w:szCs w:val="24"/>
        </w:rPr>
        <w:t xml:space="preserve"> </w:t>
      </w:r>
      <w:r w:rsidR="000E4427" w:rsidRPr="00A26C87">
        <w:rPr>
          <w:szCs w:val="24"/>
        </w:rPr>
        <w:t xml:space="preserve">PL 2021, c.603, 24-A MRSA </w:t>
      </w:r>
      <w:r w:rsidR="00FA7FAB">
        <w:t>§6951, sub-§13</w:t>
      </w:r>
      <w:r w:rsidR="000E4427">
        <w:rPr>
          <w:szCs w:val="24"/>
        </w:rPr>
        <w:t>.</w:t>
      </w:r>
    </w:p>
    <w:p w14:paraId="16E1B1AA" w14:textId="77777777" w:rsidR="001E52D0" w:rsidRDefault="001E52D0"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48409833" w14:textId="29BEC6E9" w:rsidR="0076278A" w:rsidRDefault="00DD43FA"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Section 1</w:t>
      </w:r>
      <w:r w:rsidR="002C2B55">
        <w:rPr>
          <w:b/>
          <w:bCs/>
          <w:sz w:val="24"/>
          <w:szCs w:val="24"/>
        </w:rPr>
        <w:t>. Definitions</w:t>
      </w:r>
    </w:p>
    <w:p w14:paraId="3F45E7C9" w14:textId="5CA2D905" w:rsidR="0076278A" w:rsidRPr="008612F2" w:rsidRDefault="00F15BD0" w:rsidP="004074F5">
      <w:pPr>
        <w:pStyle w:val="DefaultText"/>
        <w:rPr>
          <w:szCs w:val="24"/>
        </w:rPr>
      </w:pPr>
      <w:r>
        <w:rPr>
          <w:szCs w:val="24"/>
        </w:rPr>
        <w:t>-</w:t>
      </w:r>
      <w:r w:rsidR="004074F5" w:rsidRPr="008612F2">
        <w:rPr>
          <w:szCs w:val="24"/>
        </w:rPr>
        <w:t>Added definition for</w:t>
      </w:r>
      <w:r w:rsidR="008370BC">
        <w:rPr>
          <w:szCs w:val="24"/>
        </w:rPr>
        <w:t xml:space="preserve"> </w:t>
      </w:r>
      <w:r w:rsidR="00B614B1">
        <w:rPr>
          <w:szCs w:val="24"/>
        </w:rPr>
        <w:t>B</w:t>
      </w:r>
      <w:r w:rsidR="008370BC">
        <w:rPr>
          <w:szCs w:val="24"/>
        </w:rPr>
        <w:t xml:space="preserve">ehavioral </w:t>
      </w:r>
      <w:r w:rsidR="008E5FA8">
        <w:rPr>
          <w:szCs w:val="24"/>
        </w:rPr>
        <w:t>H</w:t>
      </w:r>
      <w:r w:rsidR="008370BC">
        <w:rPr>
          <w:szCs w:val="24"/>
        </w:rPr>
        <w:t xml:space="preserve">ealth </w:t>
      </w:r>
      <w:r w:rsidR="008E5FA8">
        <w:rPr>
          <w:szCs w:val="24"/>
        </w:rPr>
        <w:t>C</w:t>
      </w:r>
      <w:r w:rsidR="008370BC">
        <w:rPr>
          <w:szCs w:val="24"/>
        </w:rPr>
        <w:t>are</w:t>
      </w:r>
      <w:r w:rsidR="003A4682">
        <w:rPr>
          <w:szCs w:val="24"/>
        </w:rPr>
        <w:t>.</w:t>
      </w:r>
      <w:r w:rsidR="00EA04C9">
        <w:rPr>
          <w:szCs w:val="24"/>
        </w:rPr>
        <w:t xml:space="preserve"> (page 1)</w:t>
      </w:r>
    </w:p>
    <w:p w14:paraId="40FDD6F7" w14:textId="6A4A7992" w:rsidR="008612F2" w:rsidRDefault="008612F2" w:rsidP="00F15BD0">
      <w:pPr>
        <w:pStyle w:val="DefaultText"/>
        <w:ind w:left="720"/>
        <w:rPr>
          <w:szCs w:val="24"/>
        </w:rPr>
      </w:pPr>
      <w:r w:rsidRPr="007E3C67">
        <w:rPr>
          <w:b/>
          <w:bCs/>
          <w:szCs w:val="24"/>
        </w:rPr>
        <w:t>Rationale:</w:t>
      </w:r>
      <w:r w:rsidR="00986212">
        <w:rPr>
          <w:szCs w:val="24"/>
        </w:rPr>
        <w:t xml:space="preserve"> </w:t>
      </w:r>
      <w:r w:rsidR="007475C4">
        <w:rPr>
          <w:szCs w:val="24"/>
        </w:rPr>
        <w:t>B</w:t>
      </w:r>
      <w:r w:rsidR="009B0153">
        <w:rPr>
          <w:szCs w:val="24"/>
        </w:rPr>
        <w:t xml:space="preserve">ehavioral </w:t>
      </w:r>
      <w:r w:rsidR="003D3A49">
        <w:rPr>
          <w:szCs w:val="24"/>
        </w:rPr>
        <w:t>H</w:t>
      </w:r>
      <w:r w:rsidR="009B0153">
        <w:rPr>
          <w:szCs w:val="24"/>
        </w:rPr>
        <w:t>ealth</w:t>
      </w:r>
      <w:r w:rsidR="003D3A49">
        <w:rPr>
          <w:szCs w:val="24"/>
        </w:rPr>
        <w:t xml:space="preserve"> Care</w:t>
      </w:r>
      <w:r w:rsidR="007475C4">
        <w:rPr>
          <w:szCs w:val="24"/>
        </w:rPr>
        <w:t xml:space="preserve"> is defined</w:t>
      </w:r>
      <w:r w:rsidR="00913485">
        <w:rPr>
          <w:szCs w:val="24"/>
        </w:rPr>
        <w:t xml:space="preserve"> in </w:t>
      </w:r>
      <w:r w:rsidR="00A26C87" w:rsidRPr="00A26C87">
        <w:rPr>
          <w:szCs w:val="24"/>
        </w:rPr>
        <w:t>PL 2021, c.603, 24-A MRSA §6903, sub-§1-A</w:t>
      </w:r>
      <w:r w:rsidR="00353564">
        <w:rPr>
          <w:szCs w:val="24"/>
        </w:rPr>
        <w:t>.</w:t>
      </w:r>
    </w:p>
    <w:p w14:paraId="5E2AB644" w14:textId="36AC3F29" w:rsidR="00F2645D" w:rsidRDefault="00F15BD0" w:rsidP="004074F5">
      <w:pPr>
        <w:pStyle w:val="DefaultText"/>
        <w:rPr>
          <w:szCs w:val="24"/>
        </w:rPr>
      </w:pPr>
      <w:r>
        <w:rPr>
          <w:szCs w:val="24"/>
        </w:rPr>
        <w:t>-</w:t>
      </w:r>
      <w:r w:rsidR="00762E91">
        <w:rPr>
          <w:szCs w:val="24"/>
        </w:rPr>
        <w:t>R</w:t>
      </w:r>
      <w:r>
        <w:rPr>
          <w:szCs w:val="24"/>
        </w:rPr>
        <w:t xml:space="preserve">eplaced definition </w:t>
      </w:r>
      <w:r w:rsidR="00090173">
        <w:rPr>
          <w:szCs w:val="24"/>
        </w:rPr>
        <w:t xml:space="preserve">for </w:t>
      </w:r>
      <w:r w:rsidR="003D3A49">
        <w:rPr>
          <w:szCs w:val="24"/>
        </w:rPr>
        <w:t>P</w:t>
      </w:r>
      <w:r w:rsidR="00090173">
        <w:rPr>
          <w:szCs w:val="24"/>
        </w:rPr>
        <w:t xml:space="preserve">rimary </w:t>
      </w:r>
      <w:r w:rsidR="003D3A49">
        <w:rPr>
          <w:szCs w:val="24"/>
        </w:rPr>
        <w:t>C</w:t>
      </w:r>
      <w:r w:rsidR="00090173">
        <w:rPr>
          <w:szCs w:val="24"/>
        </w:rPr>
        <w:t xml:space="preserve">are. </w:t>
      </w:r>
      <w:r w:rsidR="00A3057B">
        <w:rPr>
          <w:szCs w:val="24"/>
        </w:rPr>
        <w:t>(page 2)</w:t>
      </w:r>
    </w:p>
    <w:p w14:paraId="58FABF1E" w14:textId="5066D268" w:rsidR="00ED2D89" w:rsidRDefault="00ED2D89" w:rsidP="00F526DE">
      <w:pPr>
        <w:pStyle w:val="DefaultText"/>
        <w:ind w:left="720"/>
        <w:rPr>
          <w:szCs w:val="24"/>
        </w:rPr>
      </w:pPr>
      <w:r w:rsidRPr="007E3C67">
        <w:rPr>
          <w:b/>
          <w:bCs/>
          <w:szCs w:val="24"/>
        </w:rPr>
        <w:t>Rationale:</w:t>
      </w:r>
      <w:r>
        <w:rPr>
          <w:szCs w:val="24"/>
        </w:rPr>
        <w:t xml:space="preserve"> </w:t>
      </w:r>
      <w:r w:rsidR="002C4C59">
        <w:rPr>
          <w:szCs w:val="24"/>
        </w:rPr>
        <w:t xml:space="preserve">Aligned the definition for </w:t>
      </w:r>
      <w:r w:rsidR="007475C4">
        <w:rPr>
          <w:szCs w:val="24"/>
        </w:rPr>
        <w:t>P</w:t>
      </w:r>
      <w:r w:rsidR="003F1575">
        <w:rPr>
          <w:szCs w:val="24"/>
        </w:rPr>
        <w:t xml:space="preserve">rimary </w:t>
      </w:r>
      <w:r w:rsidR="003D3A49">
        <w:rPr>
          <w:szCs w:val="24"/>
        </w:rPr>
        <w:t>C</w:t>
      </w:r>
      <w:r w:rsidR="003F1575">
        <w:rPr>
          <w:szCs w:val="24"/>
        </w:rPr>
        <w:t xml:space="preserve">are </w:t>
      </w:r>
      <w:r w:rsidR="002C4C59">
        <w:rPr>
          <w:szCs w:val="24"/>
        </w:rPr>
        <w:t>with what is in</w:t>
      </w:r>
      <w:r w:rsidR="003F1575">
        <w:rPr>
          <w:szCs w:val="24"/>
        </w:rPr>
        <w:t xml:space="preserve"> PL 2019, c. </w:t>
      </w:r>
      <w:r w:rsidR="00EB0D8C">
        <w:rPr>
          <w:szCs w:val="24"/>
        </w:rPr>
        <w:t>244</w:t>
      </w:r>
      <w:r w:rsidR="00F526DE">
        <w:rPr>
          <w:szCs w:val="24"/>
        </w:rPr>
        <w:t xml:space="preserve">: </w:t>
      </w:r>
      <w:r w:rsidR="00F526DE" w:rsidRPr="00F526DE">
        <w:rPr>
          <w:szCs w:val="24"/>
        </w:rPr>
        <w:t>An Act To Establish Transparency in Primary Health Care Spending</w:t>
      </w:r>
      <w:r w:rsidR="00F526DE">
        <w:rPr>
          <w:szCs w:val="24"/>
        </w:rPr>
        <w:t>.</w:t>
      </w:r>
    </w:p>
    <w:p w14:paraId="185CE1D9" w14:textId="05379177" w:rsidR="00F526DE" w:rsidRDefault="0004611D" w:rsidP="0004611D">
      <w:pPr>
        <w:pStyle w:val="DefaultText"/>
        <w:rPr>
          <w:szCs w:val="24"/>
        </w:rPr>
      </w:pPr>
      <w:r>
        <w:rPr>
          <w:szCs w:val="24"/>
        </w:rPr>
        <w:lastRenderedPageBreak/>
        <w:t>-</w:t>
      </w:r>
      <w:r w:rsidR="00A55106">
        <w:rPr>
          <w:szCs w:val="24"/>
        </w:rPr>
        <w:t xml:space="preserve">Added definition for </w:t>
      </w:r>
      <w:r w:rsidR="0024730A">
        <w:rPr>
          <w:szCs w:val="24"/>
        </w:rPr>
        <w:t>R</w:t>
      </w:r>
      <w:r w:rsidR="00A55106">
        <w:rPr>
          <w:szCs w:val="24"/>
        </w:rPr>
        <w:t xml:space="preserve">edacted </w:t>
      </w:r>
      <w:r w:rsidR="0024730A">
        <w:rPr>
          <w:szCs w:val="24"/>
        </w:rPr>
        <w:t>P</w:t>
      </w:r>
      <w:r w:rsidR="00A55106">
        <w:rPr>
          <w:szCs w:val="24"/>
        </w:rPr>
        <w:t>ayments.</w:t>
      </w:r>
      <w:r w:rsidR="00A3057B">
        <w:rPr>
          <w:szCs w:val="24"/>
        </w:rPr>
        <w:t xml:space="preserve"> (page 3)</w:t>
      </w:r>
    </w:p>
    <w:p w14:paraId="44D8E060" w14:textId="6464DB07" w:rsidR="00A55106" w:rsidRDefault="00A55106" w:rsidP="00204C39">
      <w:pPr>
        <w:pStyle w:val="DefaultText"/>
        <w:ind w:left="720"/>
        <w:rPr>
          <w:szCs w:val="24"/>
        </w:rPr>
      </w:pPr>
      <w:r w:rsidRPr="007F55DE">
        <w:rPr>
          <w:b/>
          <w:bCs/>
          <w:szCs w:val="24"/>
        </w:rPr>
        <w:t>Rationale:</w:t>
      </w:r>
      <w:r>
        <w:rPr>
          <w:szCs w:val="24"/>
        </w:rPr>
        <w:t xml:space="preserve"> </w:t>
      </w:r>
      <w:r w:rsidR="00426E7B">
        <w:rPr>
          <w:szCs w:val="24"/>
        </w:rPr>
        <w:t>Th</w:t>
      </w:r>
      <w:r w:rsidR="00204C39">
        <w:rPr>
          <w:szCs w:val="24"/>
        </w:rPr>
        <w:t>e</w:t>
      </w:r>
      <w:r w:rsidR="00426E7B">
        <w:rPr>
          <w:szCs w:val="24"/>
        </w:rPr>
        <w:t xml:space="preserve"> term appears</w:t>
      </w:r>
      <w:r w:rsidR="0098613D">
        <w:rPr>
          <w:szCs w:val="24"/>
        </w:rPr>
        <w:t xml:space="preserve"> </w:t>
      </w:r>
      <w:r w:rsidR="00AA4245">
        <w:rPr>
          <w:szCs w:val="24"/>
        </w:rPr>
        <w:t>in</w:t>
      </w:r>
      <w:r w:rsidR="0098613D">
        <w:rPr>
          <w:szCs w:val="24"/>
        </w:rPr>
        <w:t xml:space="preserve"> </w:t>
      </w:r>
      <w:r w:rsidR="0044020D" w:rsidRPr="0044020D">
        <w:rPr>
          <w:szCs w:val="24"/>
        </w:rPr>
        <w:t>PL 2021, c.603, 24-A MRSA §6951, sub-§13 (C)</w:t>
      </w:r>
      <w:r w:rsidR="00204C39">
        <w:rPr>
          <w:szCs w:val="24"/>
        </w:rPr>
        <w:t xml:space="preserve"> and</w:t>
      </w:r>
      <w:r w:rsidR="002C4C59">
        <w:rPr>
          <w:szCs w:val="24"/>
        </w:rPr>
        <w:t xml:space="preserve"> the definition in the rule provides</w:t>
      </w:r>
      <w:r w:rsidR="00204C39">
        <w:rPr>
          <w:szCs w:val="24"/>
        </w:rPr>
        <w:t xml:space="preserve"> clarification</w:t>
      </w:r>
      <w:r w:rsidR="002C4C59">
        <w:rPr>
          <w:szCs w:val="24"/>
        </w:rPr>
        <w:t xml:space="preserve"> of the term</w:t>
      </w:r>
      <w:r w:rsidR="00204C39">
        <w:rPr>
          <w:szCs w:val="24"/>
        </w:rPr>
        <w:t>.</w:t>
      </w:r>
    </w:p>
    <w:p w14:paraId="70D2195B" w14:textId="358DF40F" w:rsidR="002771F3" w:rsidRDefault="007F55DE" w:rsidP="0004611D">
      <w:pPr>
        <w:pStyle w:val="DefaultText"/>
        <w:rPr>
          <w:szCs w:val="24"/>
        </w:rPr>
      </w:pPr>
      <w:r>
        <w:rPr>
          <w:szCs w:val="24"/>
        </w:rPr>
        <w:t xml:space="preserve">-Added definition </w:t>
      </w:r>
      <w:r w:rsidR="00965579">
        <w:rPr>
          <w:szCs w:val="24"/>
        </w:rPr>
        <w:t>for</w:t>
      </w:r>
      <w:r w:rsidR="005D2690">
        <w:rPr>
          <w:szCs w:val="24"/>
        </w:rPr>
        <w:t xml:space="preserve"> </w:t>
      </w:r>
      <w:r w:rsidR="0024730A">
        <w:rPr>
          <w:szCs w:val="24"/>
        </w:rPr>
        <w:t>S</w:t>
      </w:r>
      <w:r>
        <w:rPr>
          <w:szCs w:val="24"/>
        </w:rPr>
        <w:t xml:space="preserve">upplemental </w:t>
      </w:r>
      <w:r w:rsidR="0024730A">
        <w:rPr>
          <w:szCs w:val="24"/>
        </w:rPr>
        <w:t>H</w:t>
      </w:r>
      <w:r>
        <w:rPr>
          <w:szCs w:val="24"/>
        </w:rPr>
        <w:t xml:space="preserve">ealth </w:t>
      </w:r>
      <w:r w:rsidR="0024730A">
        <w:rPr>
          <w:szCs w:val="24"/>
        </w:rPr>
        <w:t>C</w:t>
      </w:r>
      <w:r>
        <w:rPr>
          <w:szCs w:val="24"/>
        </w:rPr>
        <w:t xml:space="preserve">are </w:t>
      </w:r>
      <w:r w:rsidR="0024730A">
        <w:rPr>
          <w:szCs w:val="24"/>
        </w:rPr>
        <w:t>D</w:t>
      </w:r>
      <w:r>
        <w:rPr>
          <w:szCs w:val="24"/>
        </w:rPr>
        <w:t xml:space="preserve">ata </w:t>
      </w:r>
      <w:r w:rsidR="0024730A">
        <w:rPr>
          <w:szCs w:val="24"/>
        </w:rPr>
        <w:t>S</w:t>
      </w:r>
      <w:r>
        <w:rPr>
          <w:szCs w:val="24"/>
        </w:rPr>
        <w:t>ets.</w:t>
      </w:r>
      <w:r w:rsidR="00A3057B">
        <w:rPr>
          <w:szCs w:val="24"/>
        </w:rPr>
        <w:t xml:space="preserve"> (page 4)</w:t>
      </w:r>
    </w:p>
    <w:p w14:paraId="35F538A6" w14:textId="4DCD53D3" w:rsidR="007F55DE" w:rsidRPr="00063DAB" w:rsidRDefault="00063DAB" w:rsidP="00742F93">
      <w:pPr>
        <w:pStyle w:val="DefaultText"/>
        <w:ind w:left="720"/>
        <w:rPr>
          <w:b/>
          <w:bCs/>
          <w:szCs w:val="24"/>
        </w:rPr>
      </w:pPr>
      <w:r w:rsidRPr="00063DAB">
        <w:rPr>
          <w:b/>
          <w:bCs/>
          <w:szCs w:val="24"/>
        </w:rPr>
        <w:t xml:space="preserve">Rationale: </w:t>
      </w:r>
      <w:r w:rsidR="00954E89" w:rsidRPr="00742F93">
        <w:rPr>
          <w:szCs w:val="24"/>
        </w:rPr>
        <w:t>Th</w:t>
      </w:r>
      <w:r w:rsidR="00E161E6">
        <w:rPr>
          <w:szCs w:val="24"/>
        </w:rPr>
        <w:t>e</w:t>
      </w:r>
      <w:r w:rsidR="009818E5" w:rsidRPr="00742F93">
        <w:rPr>
          <w:szCs w:val="24"/>
        </w:rPr>
        <w:t xml:space="preserve"> definition of </w:t>
      </w:r>
      <w:r w:rsidR="005C2227">
        <w:rPr>
          <w:szCs w:val="24"/>
        </w:rPr>
        <w:t>S</w:t>
      </w:r>
      <w:r w:rsidR="009818E5" w:rsidRPr="00742F93">
        <w:rPr>
          <w:szCs w:val="24"/>
        </w:rPr>
        <w:t xml:space="preserve">upplemental </w:t>
      </w:r>
      <w:r w:rsidR="005C2227">
        <w:rPr>
          <w:szCs w:val="24"/>
        </w:rPr>
        <w:t>H</w:t>
      </w:r>
      <w:r w:rsidR="009818E5" w:rsidRPr="00742F93">
        <w:rPr>
          <w:szCs w:val="24"/>
        </w:rPr>
        <w:t xml:space="preserve">ealth </w:t>
      </w:r>
      <w:r w:rsidR="005C2227">
        <w:rPr>
          <w:szCs w:val="24"/>
        </w:rPr>
        <w:t>C</w:t>
      </w:r>
      <w:r w:rsidR="009818E5" w:rsidRPr="00742F93">
        <w:rPr>
          <w:szCs w:val="24"/>
        </w:rPr>
        <w:t xml:space="preserve">are </w:t>
      </w:r>
      <w:r w:rsidR="005C2227">
        <w:rPr>
          <w:szCs w:val="24"/>
        </w:rPr>
        <w:t>D</w:t>
      </w:r>
      <w:r w:rsidR="009818E5" w:rsidRPr="00742F93">
        <w:rPr>
          <w:szCs w:val="24"/>
        </w:rPr>
        <w:t>ata</w:t>
      </w:r>
      <w:r w:rsidR="00965579">
        <w:rPr>
          <w:szCs w:val="24"/>
        </w:rPr>
        <w:t xml:space="preserve"> </w:t>
      </w:r>
      <w:r w:rsidR="005C2227">
        <w:rPr>
          <w:szCs w:val="24"/>
        </w:rPr>
        <w:t>S</w:t>
      </w:r>
      <w:r w:rsidR="00965579">
        <w:rPr>
          <w:szCs w:val="24"/>
        </w:rPr>
        <w:t>et</w:t>
      </w:r>
      <w:r w:rsidR="005E4667">
        <w:rPr>
          <w:szCs w:val="24"/>
        </w:rPr>
        <w:t>,</w:t>
      </w:r>
      <w:r w:rsidR="00203093">
        <w:rPr>
          <w:szCs w:val="24"/>
        </w:rPr>
        <w:t xml:space="preserve"> and its inclusion in the </w:t>
      </w:r>
      <w:r w:rsidR="005E4667">
        <w:rPr>
          <w:szCs w:val="24"/>
        </w:rPr>
        <w:t xml:space="preserve">title of </w:t>
      </w:r>
      <w:r w:rsidR="00A36897">
        <w:rPr>
          <w:szCs w:val="24"/>
        </w:rPr>
        <w:t>Chapter 247</w:t>
      </w:r>
      <w:r w:rsidR="005E4667">
        <w:rPr>
          <w:szCs w:val="24"/>
        </w:rPr>
        <w:t>,</w:t>
      </w:r>
      <w:r w:rsidR="009818E5" w:rsidRPr="00742F93">
        <w:rPr>
          <w:szCs w:val="24"/>
        </w:rPr>
        <w:t xml:space="preserve"> </w:t>
      </w:r>
      <w:r w:rsidR="007E6D76" w:rsidRPr="00742F93">
        <w:rPr>
          <w:szCs w:val="24"/>
        </w:rPr>
        <w:t xml:space="preserve">generalizes the scope of </w:t>
      </w:r>
      <w:r w:rsidR="00893F2E">
        <w:rPr>
          <w:szCs w:val="24"/>
        </w:rPr>
        <w:t xml:space="preserve">uniform reporting under </w:t>
      </w:r>
      <w:r w:rsidR="00A36897">
        <w:rPr>
          <w:szCs w:val="24"/>
        </w:rPr>
        <w:t>this Rule</w:t>
      </w:r>
      <w:r w:rsidR="002C4C59">
        <w:rPr>
          <w:szCs w:val="24"/>
        </w:rPr>
        <w:t xml:space="preserve"> to include the various data sets required</w:t>
      </w:r>
      <w:r w:rsidR="00A36897">
        <w:rPr>
          <w:szCs w:val="24"/>
        </w:rPr>
        <w:t>.</w:t>
      </w:r>
    </w:p>
    <w:p w14:paraId="474CAF70" w14:textId="77777777" w:rsidR="001E52D0" w:rsidRDefault="001E52D0"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7E4EF1D9" w14:textId="6B697224" w:rsidR="0076278A" w:rsidRDefault="00DC0D11"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Pr>
          <w:b/>
          <w:bCs/>
          <w:sz w:val="24"/>
          <w:szCs w:val="24"/>
        </w:rPr>
        <w:t xml:space="preserve">Section 2. </w:t>
      </w:r>
      <w:r w:rsidR="002C0CD8">
        <w:rPr>
          <w:b/>
          <w:bCs/>
          <w:sz w:val="24"/>
          <w:szCs w:val="24"/>
        </w:rPr>
        <w:t>Non-Claims-Based Payments</w:t>
      </w:r>
      <w:r w:rsidR="00BE20FF">
        <w:rPr>
          <w:b/>
          <w:bCs/>
          <w:sz w:val="24"/>
          <w:szCs w:val="24"/>
        </w:rPr>
        <w:t xml:space="preserve"> </w:t>
      </w:r>
      <w:r w:rsidR="00BE20FF" w:rsidRPr="006A38B2">
        <w:rPr>
          <w:b/>
          <w:bCs/>
          <w:sz w:val="24"/>
          <w:szCs w:val="24"/>
          <w:u w:val="single"/>
        </w:rPr>
        <w:t>and Other Supplemental Health Care</w:t>
      </w:r>
      <w:r w:rsidR="003D6A6A" w:rsidRPr="006A38B2">
        <w:rPr>
          <w:b/>
          <w:bCs/>
          <w:sz w:val="24"/>
          <w:szCs w:val="24"/>
          <w:u w:val="single"/>
        </w:rPr>
        <w:t xml:space="preserve"> Data Set</w:t>
      </w:r>
      <w:r w:rsidR="006A38B2">
        <w:rPr>
          <w:b/>
          <w:bCs/>
          <w:sz w:val="24"/>
          <w:szCs w:val="24"/>
        </w:rPr>
        <w:t xml:space="preserve"> Filing Description</w:t>
      </w:r>
    </w:p>
    <w:p w14:paraId="5C5623D5" w14:textId="56AB5557" w:rsidR="00A56E04" w:rsidRPr="00EC5BF2" w:rsidRDefault="00943F6B"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Pr>
          <w:b/>
          <w:bCs/>
          <w:sz w:val="24"/>
          <w:szCs w:val="24"/>
        </w:rPr>
        <w:t>-</w:t>
      </w:r>
      <w:r w:rsidR="00E26C1D">
        <w:rPr>
          <w:sz w:val="24"/>
          <w:szCs w:val="24"/>
        </w:rPr>
        <w:t>Section t</w:t>
      </w:r>
      <w:r w:rsidRPr="008834BC">
        <w:rPr>
          <w:sz w:val="24"/>
          <w:szCs w:val="24"/>
        </w:rPr>
        <w:t xml:space="preserve">itle </w:t>
      </w:r>
      <w:r w:rsidR="00A95098" w:rsidRPr="008834BC">
        <w:rPr>
          <w:sz w:val="24"/>
          <w:szCs w:val="24"/>
        </w:rPr>
        <w:t xml:space="preserve">adds </w:t>
      </w:r>
      <w:r w:rsidR="008B7F1C">
        <w:rPr>
          <w:sz w:val="24"/>
          <w:szCs w:val="24"/>
        </w:rPr>
        <w:t xml:space="preserve">“and </w:t>
      </w:r>
      <w:r w:rsidR="009F24C2">
        <w:rPr>
          <w:sz w:val="24"/>
          <w:szCs w:val="24"/>
        </w:rPr>
        <w:t>O</w:t>
      </w:r>
      <w:r w:rsidR="00A95098" w:rsidRPr="008834BC">
        <w:rPr>
          <w:sz w:val="24"/>
          <w:szCs w:val="24"/>
        </w:rPr>
        <w:t xml:space="preserve">ther </w:t>
      </w:r>
      <w:r w:rsidR="009F24C2">
        <w:rPr>
          <w:sz w:val="24"/>
          <w:szCs w:val="24"/>
        </w:rPr>
        <w:t>S</w:t>
      </w:r>
      <w:r w:rsidR="00A95098" w:rsidRPr="008834BC">
        <w:rPr>
          <w:sz w:val="24"/>
          <w:szCs w:val="24"/>
        </w:rPr>
        <w:t xml:space="preserve">upplemental </w:t>
      </w:r>
      <w:r w:rsidR="009F24C2">
        <w:rPr>
          <w:sz w:val="24"/>
          <w:szCs w:val="24"/>
        </w:rPr>
        <w:t>H</w:t>
      </w:r>
      <w:r w:rsidR="00A95098" w:rsidRPr="008834BC">
        <w:rPr>
          <w:sz w:val="24"/>
          <w:szCs w:val="24"/>
        </w:rPr>
        <w:t xml:space="preserve">ealth </w:t>
      </w:r>
      <w:r w:rsidR="009F24C2">
        <w:rPr>
          <w:sz w:val="24"/>
          <w:szCs w:val="24"/>
        </w:rPr>
        <w:t>C</w:t>
      </w:r>
      <w:r w:rsidR="00A95098" w:rsidRPr="008834BC">
        <w:rPr>
          <w:sz w:val="24"/>
          <w:szCs w:val="24"/>
        </w:rPr>
        <w:t xml:space="preserve">are </w:t>
      </w:r>
      <w:r w:rsidR="009F24C2">
        <w:rPr>
          <w:sz w:val="24"/>
          <w:szCs w:val="24"/>
        </w:rPr>
        <w:t>D</w:t>
      </w:r>
      <w:r w:rsidR="00A95098" w:rsidRPr="008834BC">
        <w:rPr>
          <w:sz w:val="24"/>
          <w:szCs w:val="24"/>
        </w:rPr>
        <w:t xml:space="preserve">ata </w:t>
      </w:r>
      <w:r w:rsidR="009F24C2">
        <w:rPr>
          <w:sz w:val="24"/>
          <w:szCs w:val="24"/>
        </w:rPr>
        <w:t>S</w:t>
      </w:r>
      <w:r w:rsidR="00A95098" w:rsidRPr="008834BC">
        <w:rPr>
          <w:sz w:val="24"/>
          <w:szCs w:val="24"/>
        </w:rPr>
        <w:t>et</w:t>
      </w:r>
      <w:r w:rsidR="00C51206">
        <w:rPr>
          <w:sz w:val="24"/>
          <w:szCs w:val="24"/>
        </w:rPr>
        <w:t>,</w:t>
      </w:r>
      <w:r w:rsidR="008B7F1C">
        <w:rPr>
          <w:sz w:val="24"/>
          <w:szCs w:val="24"/>
        </w:rPr>
        <w:t>”</w:t>
      </w:r>
      <w:r w:rsidR="00281309" w:rsidRPr="008834BC">
        <w:rPr>
          <w:sz w:val="24"/>
          <w:szCs w:val="24"/>
        </w:rPr>
        <w:t xml:space="preserve"> which include</w:t>
      </w:r>
      <w:r w:rsidR="001D3930">
        <w:rPr>
          <w:sz w:val="24"/>
          <w:szCs w:val="24"/>
        </w:rPr>
        <w:t>s</w:t>
      </w:r>
      <w:r w:rsidR="00281309" w:rsidRPr="008834BC">
        <w:rPr>
          <w:sz w:val="24"/>
          <w:szCs w:val="24"/>
        </w:rPr>
        <w:t xml:space="preserve"> aggregated, redacted claims-based </w:t>
      </w:r>
      <w:r w:rsidR="008B46F8">
        <w:rPr>
          <w:sz w:val="24"/>
          <w:szCs w:val="24"/>
        </w:rPr>
        <w:t>payment</w:t>
      </w:r>
      <w:r w:rsidR="00037C26">
        <w:rPr>
          <w:sz w:val="24"/>
          <w:szCs w:val="24"/>
        </w:rPr>
        <w:t xml:space="preserve"> (AC) </w:t>
      </w:r>
      <w:r w:rsidR="00281309" w:rsidRPr="008834BC">
        <w:rPr>
          <w:sz w:val="24"/>
          <w:szCs w:val="24"/>
        </w:rPr>
        <w:t>data</w:t>
      </w:r>
      <w:r w:rsidR="00321AB6" w:rsidRPr="008834BC">
        <w:rPr>
          <w:sz w:val="24"/>
          <w:szCs w:val="24"/>
        </w:rPr>
        <w:t xml:space="preserve"> </w:t>
      </w:r>
      <w:r w:rsidR="008429F9" w:rsidRPr="008834BC">
        <w:rPr>
          <w:sz w:val="24"/>
          <w:szCs w:val="24"/>
        </w:rPr>
        <w:t xml:space="preserve">to the pre-existing requirement for non-claims-based payment (NC) </w:t>
      </w:r>
      <w:r w:rsidR="004C69E5">
        <w:rPr>
          <w:sz w:val="24"/>
          <w:szCs w:val="24"/>
        </w:rPr>
        <w:t>data</w:t>
      </w:r>
      <w:r w:rsidR="00D33CE8" w:rsidRPr="008834BC">
        <w:rPr>
          <w:sz w:val="24"/>
          <w:szCs w:val="24"/>
        </w:rPr>
        <w:t>.</w:t>
      </w:r>
      <w:r w:rsidR="00D33CE8">
        <w:rPr>
          <w:b/>
          <w:bCs/>
          <w:sz w:val="24"/>
          <w:szCs w:val="24"/>
        </w:rPr>
        <w:t xml:space="preserve"> </w:t>
      </w:r>
      <w:r w:rsidR="00EC5BF2" w:rsidRPr="00EC5BF2">
        <w:rPr>
          <w:sz w:val="24"/>
          <w:szCs w:val="24"/>
        </w:rPr>
        <w:t>(page 4)</w:t>
      </w:r>
    </w:p>
    <w:p w14:paraId="4854264E" w14:textId="1FBD4369" w:rsidR="00C9456F" w:rsidRPr="007F0302" w:rsidRDefault="00EC5BF2" w:rsidP="007E77A5">
      <w:pPr>
        <w:pStyle w:val="DefaultText"/>
        <w:ind w:left="720"/>
        <w:rPr>
          <w:szCs w:val="24"/>
        </w:rPr>
      </w:pPr>
      <w:r>
        <w:rPr>
          <w:b/>
          <w:bCs/>
          <w:szCs w:val="24"/>
        </w:rPr>
        <w:t xml:space="preserve">Rationale: </w:t>
      </w:r>
      <w:r w:rsidR="00372E0D" w:rsidRPr="00057B41">
        <w:rPr>
          <w:szCs w:val="24"/>
        </w:rPr>
        <w:t>Required under</w:t>
      </w:r>
      <w:r w:rsidR="00372E0D" w:rsidRPr="007F0302">
        <w:rPr>
          <w:szCs w:val="24"/>
        </w:rPr>
        <w:t xml:space="preserve"> PL 2021, c.603, 24-A MRSA §6951, sub-§13</w:t>
      </w:r>
      <w:r w:rsidR="007473C4">
        <w:rPr>
          <w:szCs w:val="24"/>
        </w:rPr>
        <w:t xml:space="preserve"> (C)</w:t>
      </w:r>
    </w:p>
    <w:p w14:paraId="0D4CE4F6" w14:textId="6EAAF62A" w:rsidR="00057B41" w:rsidRDefault="003D7386" w:rsidP="00057B41">
      <w:pPr>
        <w:pStyle w:val="DefaultText"/>
        <w:rPr>
          <w:szCs w:val="24"/>
        </w:rPr>
      </w:pPr>
      <w:r>
        <w:rPr>
          <w:szCs w:val="24"/>
        </w:rPr>
        <w:t>-</w:t>
      </w:r>
      <w:r w:rsidR="00BA0069">
        <w:rPr>
          <w:szCs w:val="24"/>
        </w:rPr>
        <w:t>Section 2(A)(1)</w:t>
      </w:r>
      <w:r w:rsidR="00C91833">
        <w:rPr>
          <w:szCs w:val="24"/>
        </w:rPr>
        <w:t xml:space="preserve"> introduces </w:t>
      </w:r>
      <w:r w:rsidR="00920AA6">
        <w:rPr>
          <w:szCs w:val="24"/>
        </w:rPr>
        <w:t xml:space="preserve">aggregated, redacted claims-based </w:t>
      </w:r>
      <w:r w:rsidR="00D0556C">
        <w:rPr>
          <w:szCs w:val="24"/>
        </w:rPr>
        <w:t>payment (AC) data and supporting information</w:t>
      </w:r>
      <w:r w:rsidR="008A59A1">
        <w:rPr>
          <w:szCs w:val="24"/>
        </w:rPr>
        <w:t xml:space="preserve"> files.</w:t>
      </w:r>
      <w:r w:rsidR="00A63C01">
        <w:rPr>
          <w:szCs w:val="24"/>
        </w:rPr>
        <w:t xml:space="preserve"> (page 4)</w:t>
      </w:r>
    </w:p>
    <w:p w14:paraId="60502DF2" w14:textId="7FDD505E" w:rsidR="008A59A1" w:rsidRDefault="008A59A1" w:rsidP="00057B41">
      <w:pPr>
        <w:pStyle w:val="DefaultText"/>
        <w:rPr>
          <w:rFonts w:ascii="Times New Roman" w:hAnsi="Times New Roman"/>
        </w:rPr>
      </w:pPr>
      <w:r>
        <w:rPr>
          <w:szCs w:val="24"/>
        </w:rPr>
        <w:tab/>
      </w:r>
      <w:r w:rsidRPr="00522EAA">
        <w:rPr>
          <w:b/>
          <w:bCs/>
          <w:szCs w:val="24"/>
        </w:rPr>
        <w:t>Rationale:</w:t>
      </w:r>
      <w:r>
        <w:rPr>
          <w:szCs w:val="24"/>
        </w:rPr>
        <w:t xml:space="preserve"> Required under </w:t>
      </w:r>
      <w:r w:rsidRPr="00AE0350">
        <w:rPr>
          <w:szCs w:val="24"/>
        </w:rPr>
        <w:t>PL 2021, c.603, 24-A MRSA §6951, sub-§13</w:t>
      </w:r>
      <w:r w:rsidR="00813966">
        <w:rPr>
          <w:szCs w:val="24"/>
        </w:rPr>
        <w:t xml:space="preserve"> (C)</w:t>
      </w:r>
    </w:p>
    <w:p w14:paraId="35E74E64" w14:textId="4F5514CE" w:rsidR="00522EAA" w:rsidRDefault="00522EAA" w:rsidP="00057B41">
      <w:pPr>
        <w:pStyle w:val="DefaultText"/>
        <w:rPr>
          <w:szCs w:val="24"/>
        </w:rPr>
      </w:pPr>
      <w:r w:rsidRPr="006B208E">
        <w:rPr>
          <w:szCs w:val="24"/>
        </w:rPr>
        <w:t xml:space="preserve">-Section </w:t>
      </w:r>
      <w:r w:rsidR="00282DDB" w:rsidRPr="006B208E">
        <w:rPr>
          <w:szCs w:val="24"/>
        </w:rPr>
        <w:t xml:space="preserve">2(A)(2) </w:t>
      </w:r>
      <w:r w:rsidR="009F32C4">
        <w:rPr>
          <w:szCs w:val="24"/>
        </w:rPr>
        <w:t>contains new language</w:t>
      </w:r>
      <w:r w:rsidR="006B208E" w:rsidRPr="006B208E">
        <w:rPr>
          <w:szCs w:val="24"/>
        </w:rPr>
        <w:t xml:space="preserve"> that </w:t>
      </w:r>
      <w:r w:rsidR="005176B7">
        <w:rPr>
          <w:szCs w:val="24"/>
        </w:rPr>
        <w:t>t</w:t>
      </w:r>
      <w:r w:rsidR="006B208E" w:rsidRPr="006B208E">
        <w:rPr>
          <w:szCs w:val="24"/>
        </w:rPr>
        <w:t>he payor(s) that administer(s) health insurance for State of Maine employees and the Maine Education Association Benefits Trust to pay for behavioral health care shall also submit separate data sets and supporting information for these two groups</w:t>
      </w:r>
      <w:r w:rsidR="005176B7">
        <w:rPr>
          <w:szCs w:val="24"/>
        </w:rPr>
        <w:t>.</w:t>
      </w:r>
      <w:r w:rsidR="00A63C01">
        <w:rPr>
          <w:szCs w:val="24"/>
        </w:rPr>
        <w:t xml:space="preserve"> (page 4)</w:t>
      </w:r>
    </w:p>
    <w:p w14:paraId="020604B2" w14:textId="20051A58" w:rsidR="005176B7" w:rsidRDefault="005176B7" w:rsidP="00057B41">
      <w:pPr>
        <w:pStyle w:val="DefaultText"/>
        <w:rPr>
          <w:szCs w:val="24"/>
        </w:rPr>
      </w:pPr>
      <w:r>
        <w:rPr>
          <w:szCs w:val="24"/>
        </w:rPr>
        <w:tab/>
      </w:r>
      <w:r w:rsidRPr="00522EAA">
        <w:rPr>
          <w:b/>
          <w:bCs/>
          <w:szCs w:val="24"/>
        </w:rPr>
        <w:t>Rationale:</w:t>
      </w:r>
      <w:r>
        <w:rPr>
          <w:szCs w:val="24"/>
        </w:rPr>
        <w:t xml:space="preserve"> Required under </w:t>
      </w:r>
      <w:r w:rsidRPr="00AE0350">
        <w:rPr>
          <w:szCs w:val="24"/>
        </w:rPr>
        <w:t>PL 2021, c.603, 24-A MRSA §6951, sub-§13</w:t>
      </w:r>
      <w:r w:rsidR="00AE0350" w:rsidRPr="00AE0350">
        <w:rPr>
          <w:szCs w:val="24"/>
        </w:rPr>
        <w:t xml:space="preserve"> (A)</w:t>
      </w:r>
    </w:p>
    <w:p w14:paraId="7DEBFEE0" w14:textId="3F9152DD" w:rsidR="00A63C01" w:rsidRPr="00EC5BF2" w:rsidRDefault="00D83F00" w:rsidP="00057B41">
      <w:pPr>
        <w:pStyle w:val="DefaultText"/>
        <w:rPr>
          <w:szCs w:val="24"/>
        </w:rPr>
      </w:pPr>
      <w:r>
        <w:rPr>
          <w:szCs w:val="24"/>
        </w:rPr>
        <w:t>-S</w:t>
      </w:r>
      <w:r w:rsidR="002256F4">
        <w:rPr>
          <w:szCs w:val="24"/>
        </w:rPr>
        <w:t>ection 2(A)(3)</w:t>
      </w:r>
      <w:r w:rsidR="0028384D">
        <w:rPr>
          <w:szCs w:val="24"/>
        </w:rPr>
        <w:t xml:space="preserve"> </w:t>
      </w:r>
      <w:r w:rsidR="00064695">
        <w:rPr>
          <w:szCs w:val="24"/>
        </w:rPr>
        <w:t>i</w:t>
      </w:r>
      <w:r w:rsidR="005109EA">
        <w:rPr>
          <w:szCs w:val="24"/>
        </w:rPr>
        <w:t>nclude</w:t>
      </w:r>
      <w:r w:rsidR="00B664CC">
        <w:rPr>
          <w:szCs w:val="24"/>
        </w:rPr>
        <w:t>s</w:t>
      </w:r>
      <w:r w:rsidR="005109EA">
        <w:rPr>
          <w:szCs w:val="24"/>
        </w:rPr>
        <w:t xml:space="preserve"> new technical language</w:t>
      </w:r>
      <w:r w:rsidR="0083746F">
        <w:rPr>
          <w:szCs w:val="24"/>
        </w:rPr>
        <w:t xml:space="preserve">. (page </w:t>
      </w:r>
      <w:r w:rsidR="0028384D">
        <w:rPr>
          <w:szCs w:val="24"/>
        </w:rPr>
        <w:t>5</w:t>
      </w:r>
      <w:r w:rsidR="0083746F">
        <w:rPr>
          <w:szCs w:val="24"/>
        </w:rPr>
        <w:t>)</w:t>
      </w:r>
    </w:p>
    <w:p w14:paraId="423D4ED5" w14:textId="1FE6258B" w:rsidR="00A56E04" w:rsidRPr="0017771B" w:rsidRDefault="008871A5" w:rsidP="0017771B">
      <w:pPr>
        <w:pStyle w:val="DefaultText"/>
        <w:ind w:left="720"/>
        <w:rPr>
          <w:szCs w:val="24"/>
        </w:rPr>
      </w:pPr>
      <w:r w:rsidRPr="00522EAA">
        <w:rPr>
          <w:b/>
          <w:bCs/>
          <w:szCs w:val="24"/>
        </w:rPr>
        <w:t>Rationale:</w:t>
      </w:r>
      <w:r>
        <w:rPr>
          <w:b/>
          <w:bCs/>
          <w:szCs w:val="24"/>
        </w:rPr>
        <w:t xml:space="preserve"> </w:t>
      </w:r>
      <w:r w:rsidR="002F18D1" w:rsidRPr="0017771B">
        <w:rPr>
          <w:szCs w:val="24"/>
        </w:rPr>
        <w:t xml:space="preserve">The new language clarifies how </w:t>
      </w:r>
      <w:r w:rsidR="00924DBD" w:rsidRPr="0017771B">
        <w:rPr>
          <w:szCs w:val="24"/>
        </w:rPr>
        <w:t>to properly aggregate data within the</w:t>
      </w:r>
      <w:r w:rsidR="0017771B" w:rsidRPr="0017771B">
        <w:rPr>
          <w:szCs w:val="24"/>
        </w:rPr>
        <w:t xml:space="preserve"> AC and NC file types.</w:t>
      </w:r>
    </w:p>
    <w:p w14:paraId="4F1A04BC" w14:textId="4D01DDA1" w:rsidR="0017771B" w:rsidRPr="00EC5BF2" w:rsidRDefault="0017771B" w:rsidP="0017771B">
      <w:pPr>
        <w:pStyle w:val="DefaultText"/>
        <w:rPr>
          <w:szCs w:val="24"/>
        </w:rPr>
      </w:pPr>
      <w:r>
        <w:rPr>
          <w:szCs w:val="24"/>
        </w:rPr>
        <w:t>-</w:t>
      </w:r>
      <w:r w:rsidR="00D83F00">
        <w:rPr>
          <w:szCs w:val="24"/>
        </w:rPr>
        <w:t>S</w:t>
      </w:r>
      <w:r>
        <w:rPr>
          <w:szCs w:val="24"/>
        </w:rPr>
        <w:t>ection 2(A)(4) includes new technical language. (page 5)</w:t>
      </w:r>
    </w:p>
    <w:p w14:paraId="3434914A" w14:textId="39CF0A15" w:rsidR="0017771B" w:rsidRPr="0017771B" w:rsidRDefault="0017771B" w:rsidP="0017771B">
      <w:pPr>
        <w:pStyle w:val="DefaultText"/>
        <w:ind w:left="720"/>
        <w:rPr>
          <w:szCs w:val="24"/>
        </w:rPr>
      </w:pPr>
      <w:r w:rsidRPr="00522EAA">
        <w:rPr>
          <w:b/>
          <w:bCs/>
          <w:szCs w:val="24"/>
        </w:rPr>
        <w:t>Rationale:</w:t>
      </w:r>
      <w:r>
        <w:rPr>
          <w:b/>
          <w:bCs/>
          <w:szCs w:val="24"/>
        </w:rPr>
        <w:t xml:space="preserve"> </w:t>
      </w:r>
      <w:r w:rsidR="009D6C8D" w:rsidRPr="0017771B">
        <w:rPr>
          <w:szCs w:val="24"/>
        </w:rPr>
        <w:t>The new language</w:t>
      </w:r>
      <w:r w:rsidR="009D6C8D">
        <w:rPr>
          <w:szCs w:val="24"/>
        </w:rPr>
        <w:t xml:space="preserve"> ensures this rule is consistent with the requirements of </w:t>
      </w:r>
      <w:r w:rsidR="009D6C8D" w:rsidRPr="00AE0350">
        <w:rPr>
          <w:szCs w:val="24"/>
        </w:rPr>
        <w:t>PL 2021, c.603, 24-A MRSA §6951, sub-§13</w:t>
      </w:r>
      <w:r w:rsidR="009D6C8D">
        <w:rPr>
          <w:szCs w:val="24"/>
        </w:rPr>
        <w:t xml:space="preserve"> and 90-590 C.M.R. Chapter 243.</w:t>
      </w:r>
    </w:p>
    <w:p w14:paraId="5A436A18" w14:textId="57937DB4" w:rsidR="00DF205A" w:rsidRPr="00EC5BF2" w:rsidRDefault="00DF205A" w:rsidP="00DF205A">
      <w:pPr>
        <w:pStyle w:val="DefaultText"/>
        <w:rPr>
          <w:szCs w:val="24"/>
        </w:rPr>
      </w:pPr>
      <w:r>
        <w:rPr>
          <w:szCs w:val="24"/>
        </w:rPr>
        <w:t>-Section 2(A)(5) includes new technical language. (page 5)</w:t>
      </w:r>
    </w:p>
    <w:p w14:paraId="674A0291" w14:textId="424278FA" w:rsidR="00DF205A" w:rsidRPr="0017771B" w:rsidRDefault="00DF205A" w:rsidP="00DF205A">
      <w:pPr>
        <w:pStyle w:val="DefaultText"/>
        <w:ind w:left="720"/>
        <w:rPr>
          <w:szCs w:val="24"/>
        </w:rPr>
      </w:pPr>
      <w:r w:rsidRPr="00522EAA">
        <w:rPr>
          <w:b/>
          <w:bCs/>
          <w:szCs w:val="24"/>
        </w:rPr>
        <w:t>Rationale:</w:t>
      </w:r>
      <w:r>
        <w:rPr>
          <w:b/>
          <w:bCs/>
          <w:szCs w:val="24"/>
        </w:rPr>
        <w:t xml:space="preserve"> </w:t>
      </w:r>
      <w:r w:rsidRPr="0017771B">
        <w:rPr>
          <w:szCs w:val="24"/>
        </w:rPr>
        <w:t>The new language</w:t>
      </w:r>
      <w:r>
        <w:rPr>
          <w:szCs w:val="24"/>
        </w:rPr>
        <w:t xml:space="preserve"> ensures this rule is consistent with the requirements of </w:t>
      </w:r>
      <w:r w:rsidRPr="00AE0350">
        <w:rPr>
          <w:szCs w:val="24"/>
        </w:rPr>
        <w:t>PL 2021, c.603, 24-A MRSA §6951, sub-§13</w:t>
      </w:r>
      <w:r w:rsidR="00267072">
        <w:rPr>
          <w:szCs w:val="24"/>
        </w:rPr>
        <w:t xml:space="preserve"> and 90-590 C.M.R. Chapter 243.</w:t>
      </w:r>
    </w:p>
    <w:p w14:paraId="1C0782B3" w14:textId="0BD3D8B2" w:rsidR="00267072" w:rsidRPr="00EC5BF2" w:rsidRDefault="00267072" w:rsidP="00267072">
      <w:pPr>
        <w:pStyle w:val="DefaultText"/>
        <w:rPr>
          <w:szCs w:val="24"/>
        </w:rPr>
      </w:pPr>
      <w:r>
        <w:rPr>
          <w:szCs w:val="24"/>
        </w:rPr>
        <w:lastRenderedPageBreak/>
        <w:t>-Section 2(A)(</w:t>
      </w:r>
      <w:r w:rsidR="000D122C">
        <w:rPr>
          <w:szCs w:val="24"/>
        </w:rPr>
        <w:t>6</w:t>
      </w:r>
      <w:r>
        <w:rPr>
          <w:szCs w:val="24"/>
        </w:rPr>
        <w:t>) includes new technical language. (page 5)</w:t>
      </w:r>
    </w:p>
    <w:p w14:paraId="102A87A5" w14:textId="2EAA3CAF" w:rsidR="00983108" w:rsidRDefault="00267072" w:rsidP="00A61BB5">
      <w:pPr>
        <w:pStyle w:val="DefaultText"/>
        <w:ind w:left="720"/>
        <w:rPr>
          <w:szCs w:val="24"/>
        </w:rPr>
      </w:pPr>
      <w:r w:rsidRPr="00522EAA">
        <w:rPr>
          <w:b/>
          <w:bCs/>
          <w:szCs w:val="24"/>
        </w:rPr>
        <w:t>Rationale:</w:t>
      </w:r>
      <w:r>
        <w:rPr>
          <w:b/>
          <w:bCs/>
          <w:szCs w:val="24"/>
        </w:rPr>
        <w:t xml:space="preserve"> </w:t>
      </w:r>
      <w:r w:rsidRPr="0017771B">
        <w:rPr>
          <w:szCs w:val="24"/>
        </w:rPr>
        <w:t>The new language</w:t>
      </w:r>
      <w:r>
        <w:rPr>
          <w:szCs w:val="24"/>
        </w:rPr>
        <w:t xml:space="preserve"> </w:t>
      </w:r>
      <w:r w:rsidR="0075068A">
        <w:rPr>
          <w:szCs w:val="24"/>
        </w:rPr>
        <w:t xml:space="preserve">specifies the performance period </w:t>
      </w:r>
      <w:r w:rsidR="00983108">
        <w:rPr>
          <w:szCs w:val="24"/>
        </w:rPr>
        <w:t>for each file type</w:t>
      </w:r>
      <w:r>
        <w:rPr>
          <w:szCs w:val="24"/>
        </w:rPr>
        <w:t>.</w:t>
      </w:r>
    </w:p>
    <w:p w14:paraId="4521FD71" w14:textId="12301E1C" w:rsidR="0028384D" w:rsidRDefault="00950B9C" w:rsidP="00B80000">
      <w:pPr>
        <w:pStyle w:val="DefaultText"/>
        <w:rPr>
          <w:szCs w:val="24"/>
        </w:rPr>
      </w:pPr>
      <w:r w:rsidRPr="00950B9C">
        <w:rPr>
          <w:szCs w:val="24"/>
        </w:rPr>
        <w:t>-</w:t>
      </w:r>
      <w:r w:rsidR="00A61BB5" w:rsidRPr="00950B9C">
        <w:rPr>
          <w:szCs w:val="24"/>
        </w:rPr>
        <w:t>Section 2(B)</w:t>
      </w:r>
      <w:r w:rsidR="00AE6AE5">
        <w:rPr>
          <w:szCs w:val="24"/>
        </w:rPr>
        <w:t xml:space="preserve"> title; Header Record title; </w:t>
      </w:r>
      <w:r w:rsidR="00136C17">
        <w:rPr>
          <w:szCs w:val="24"/>
        </w:rPr>
        <w:t xml:space="preserve">HD004 Definition/Description; </w:t>
      </w:r>
      <w:r w:rsidR="00CC23F9">
        <w:rPr>
          <w:szCs w:val="24"/>
        </w:rPr>
        <w:t>Trailer Record title; TR004</w:t>
      </w:r>
      <w:r w:rsidR="00BE417E">
        <w:rPr>
          <w:szCs w:val="24"/>
        </w:rPr>
        <w:t xml:space="preserve"> Definition/Description;</w:t>
      </w:r>
      <w:r w:rsidR="003B0329">
        <w:rPr>
          <w:szCs w:val="24"/>
        </w:rPr>
        <w:t xml:space="preserve"> File Type NC title; </w:t>
      </w:r>
      <w:r w:rsidR="00536460">
        <w:rPr>
          <w:szCs w:val="24"/>
        </w:rPr>
        <w:t>De</w:t>
      </w:r>
      <w:r w:rsidR="00C4707D">
        <w:rPr>
          <w:szCs w:val="24"/>
        </w:rPr>
        <w:t xml:space="preserve">finitions/Descriptions for </w:t>
      </w:r>
      <w:r w:rsidR="005E4F99">
        <w:rPr>
          <w:szCs w:val="24"/>
        </w:rPr>
        <w:t>NC004, NC005, NC006, NC007</w:t>
      </w:r>
      <w:r w:rsidR="00B80000">
        <w:rPr>
          <w:szCs w:val="24"/>
        </w:rPr>
        <w:t>, NC009, and NC013</w:t>
      </w:r>
      <w:r w:rsidR="008F18AE">
        <w:rPr>
          <w:szCs w:val="24"/>
        </w:rPr>
        <w:t xml:space="preserve"> </w:t>
      </w:r>
      <w:r w:rsidR="007675C0">
        <w:rPr>
          <w:szCs w:val="24"/>
        </w:rPr>
        <w:t>contain new language. (pages 5 – 8)</w:t>
      </w:r>
    </w:p>
    <w:p w14:paraId="0B7202EB" w14:textId="5F97C04C" w:rsidR="00E819B3" w:rsidRDefault="007874D0" w:rsidP="003810F5">
      <w:pPr>
        <w:pStyle w:val="DefaultText"/>
        <w:ind w:left="720"/>
        <w:rPr>
          <w:szCs w:val="24"/>
        </w:rPr>
      </w:pPr>
      <w:r w:rsidRPr="001120CA">
        <w:rPr>
          <w:b/>
          <w:bCs/>
          <w:szCs w:val="24"/>
        </w:rPr>
        <w:t>Rationale:</w:t>
      </w:r>
      <w:r>
        <w:rPr>
          <w:szCs w:val="24"/>
        </w:rPr>
        <w:t xml:space="preserve"> The new language is</w:t>
      </w:r>
      <w:r w:rsidR="00916C26">
        <w:rPr>
          <w:szCs w:val="24"/>
        </w:rPr>
        <w:t xml:space="preserve"> </w:t>
      </w:r>
      <w:r w:rsidR="001120CA">
        <w:rPr>
          <w:szCs w:val="24"/>
        </w:rPr>
        <w:t>required for clarification or technical implementation</w:t>
      </w:r>
      <w:r w:rsidR="000A6B96">
        <w:rPr>
          <w:szCs w:val="24"/>
        </w:rPr>
        <w:t xml:space="preserve"> of</w:t>
      </w:r>
      <w:r w:rsidR="001120CA">
        <w:rPr>
          <w:szCs w:val="24"/>
        </w:rPr>
        <w:t xml:space="preserve"> </w:t>
      </w:r>
      <w:r w:rsidR="00916C26" w:rsidRPr="00AE0350">
        <w:rPr>
          <w:szCs w:val="24"/>
        </w:rPr>
        <w:t>PL 2021, c.603, 24-A MRSA §6951, sub-§13</w:t>
      </w:r>
      <w:r w:rsidR="001120CA">
        <w:rPr>
          <w:szCs w:val="24"/>
        </w:rPr>
        <w:t>.</w:t>
      </w:r>
    </w:p>
    <w:p w14:paraId="6EE36660" w14:textId="429673E6" w:rsidR="00B448D9" w:rsidRDefault="002571EA" w:rsidP="00B80000">
      <w:pPr>
        <w:pStyle w:val="DefaultText"/>
        <w:rPr>
          <w:szCs w:val="24"/>
        </w:rPr>
      </w:pPr>
      <w:r>
        <w:rPr>
          <w:szCs w:val="24"/>
        </w:rPr>
        <w:t>-Section 2(B)</w:t>
      </w:r>
      <w:r w:rsidR="00103AEA">
        <w:rPr>
          <w:szCs w:val="24"/>
        </w:rPr>
        <w:t xml:space="preserve"> Data Element NC003</w:t>
      </w:r>
      <w:r w:rsidR="00167A20">
        <w:rPr>
          <w:szCs w:val="24"/>
        </w:rPr>
        <w:t xml:space="preserve"> is </w:t>
      </w:r>
      <w:r w:rsidR="007B6E06">
        <w:rPr>
          <w:szCs w:val="24"/>
        </w:rPr>
        <w:t>not coded for extraction</w:t>
      </w:r>
      <w:r w:rsidR="00A46D32">
        <w:rPr>
          <w:szCs w:val="24"/>
        </w:rPr>
        <w:t xml:space="preserve">, but its position is retained in the file layout and left blank. (page </w:t>
      </w:r>
      <w:r w:rsidR="00AA5562">
        <w:rPr>
          <w:szCs w:val="24"/>
        </w:rPr>
        <w:t>7)</w:t>
      </w:r>
    </w:p>
    <w:p w14:paraId="20E91699" w14:textId="74910315" w:rsidR="002C11CB" w:rsidRPr="001E4FE1" w:rsidRDefault="002C11CB" w:rsidP="008D078B">
      <w:pPr>
        <w:pStyle w:val="DefaultText"/>
        <w:ind w:left="720"/>
        <w:rPr>
          <w:b/>
          <w:bCs/>
          <w:szCs w:val="24"/>
        </w:rPr>
      </w:pPr>
      <w:r w:rsidRPr="001E4FE1">
        <w:rPr>
          <w:b/>
          <w:bCs/>
          <w:szCs w:val="24"/>
        </w:rPr>
        <w:t xml:space="preserve">Rationale: </w:t>
      </w:r>
      <w:r w:rsidR="007709A2" w:rsidRPr="00E82C75">
        <w:rPr>
          <w:szCs w:val="24"/>
        </w:rPr>
        <w:t xml:space="preserve">Per </w:t>
      </w:r>
      <w:r w:rsidR="007709A2" w:rsidRPr="00AE0350">
        <w:rPr>
          <w:szCs w:val="24"/>
        </w:rPr>
        <w:t>PL 2021, c.603, 24-A MRSA §6951, sub-§13</w:t>
      </w:r>
      <w:r w:rsidR="007709A2">
        <w:rPr>
          <w:szCs w:val="24"/>
        </w:rPr>
        <w:t xml:space="preserve"> (</w:t>
      </w:r>
      <w:r w:rsidR="007866BB">
        <w:rPr>
          <w:szCs w:val="24"/>
        </w:rPr>
        <w:t>A</w:t>
      </w:r>
      <w:r w:rsidR="007709A2">
        <w:rPr>
          <w:szCs w:val="24"/>
        </w:rPr>
        <w:t xml:space="preserve">), </w:t>
      </w:r>
      <w:r w:rsidR="00AD55F0">
        <w:rPr>
          <w:szCs w:val="24"/>
        </w:rPr>
        <w:t>the data in file type NC must be aggregated by population (NC012), not by</w:t>
      </w:r>
      <w:r w:rsidR="008D078B">
        <w:rPr>
          <w:szCs w:val="24"/>
        </w:rPr>
        <w:t xml:space="preserve"> insurance type/product code (NC003).</w:t>
      </w:r>
    </w:p>
    <w:p w14:paraId="57466838" w14:textId="526DF41E" w:rsidR="00103AEA" w:rsidRDefault="00103AEA" w:rsidP="00B80000">
      <w:pPr>
        <w:pStyle w:val="DefaultText"/>
        <w:rPr>
          <w:szCs w:val="24"/>
        </w:rPr>
      </w:pPr>
      <w:r>
        <w:rPr>
          <w:szCs w:val="24"/>
        </w:rPr>
        <w:t>-Section 2(B) Data Element NC010</w:t>
      </w:r>
      <w:r w:rsidR="00E5587A">
        <w:rPr>
          <w:szCs w:val="24"/>
        </w:rPr>
        <w:t xml:space="preserve"> is new</w:t>
      </w:r>
      <w:r w:rsidR="00A37691">
        <w:rPr>
          <w:szCs w:val="24"/>
        </w:rPr>
        <w:t>. (page 8)</w:t>
      </w:r>
    </w:p>
    <w:p w14:paraId="5F3AF997" w14:textId="4501BEA2" w:rsidR="002C11CB" w:rsidRPr="001E4FE1" w:rsidRDefault="002C11CB" w:rsidP="004A2E45">
      <w:pPr>
        <w:pStyle w:val="DefaultText"/>
        <w:ind w:left="720"/>
        <w:rPr>
          <w:b/>
          <w:bCs/>
          <w:szCs w:val="24"/>
        </w:rPr>
      </w:pPr>
      <w:r w:rsidRPr="001E4FE1">
        <w:rPr>
          <w:b/>
          <w:bCs/>
          <w:szCs w:val="24"/>
        </w:rPr>
        <w:t>Rationale:</w:t>
      </w:r>
      <w:r w:rsidR="009F03FA">
        <w:rPr>
          <w:b/>
          <w:bCs/>
          <w:szCs w:val="24"/>
        </w:rPr>
        <w:t xml:space="preserve"> </w:t>
      </w:r>
      <w:r w:rsidR="0008654E" w:rsidRPr="004A2E45">
        <w:rPr>
          <w:szCs w:val="24"/>
        </w:rPr>
        <w:t xml:space="preserve">This data is necessary to fully implement </w:t>
      </w:r>
      <w:r w:rsidR="004F1EDF" w:rsidRPr="004A2E45">
        <w:rPr>
          <w:szCs w:val="24"/>
        </w:rPr>
        <w:t>PL 2021, c.603, 24-A MRSA §6951, sub-§13</w:t>
      </w:r>
      <w:r w:rsidR="00FF56B9">
        <w:rPr>
          <w:szCs w:val="24"/>
        </w:rPr>
        <w:t xml:space="preserve"> (B)</w:t>
      </w:r>
      <w:r w:rsidR="004F1EDF" w:rsidRPr="004A2E45">
        <w:rPr>
          <w:szCs w:val="24"/>
        </w:rPr>
        <w:t xml:space="preserve"> and subsequent reporting.</w:t>
      </w:r>
    </w:p>
    <w:p w14:paraId="7FD3D0B7" w14:textId="04605555" w:rsidR="00103AEA" w:rsidRDefault="00103AEA" w:rsidP="00B80000">
      <w:pPr>
        <w:pStyle w:val="DefaultText"/>
        <w:rPr>
          <w:szCs w:val="24"/>
        </w:rPr>
      </w:pPr>
      <w:r>
        <w:rPr>
          <w:szCs w:val="24"/>
        </w:rPr>
        <w:t>-Section 2(B) Data Element NC011</w:t>
      </w:r>
      <w:r w:rsidR="00A37691">
        <w:rPr>
          <w:szCs w:val="24"/>
        </w:rPr>
        <w:t xml:space="preserve"> is new. (page 8)</w:t>
      </w:r>
    </w:p>
    <w:p w14:paraId="7EB63F98" w14:textId="2FC1C9DB" w:rsidR="002C11CB" w:rsidRPr="001E4FE1" w:rsidRDefault="002C11CB" w:rsidP="004A2E45">
      <w:pPr>
        <w:pStyle w:val="DefaultText"/>
        <w:ind w:left="720"/>
        <w:rPr>
          <w:b/>
          <w:bCs/>
          <w:szCs w:val="24"/>
        </w:rPr>
      </w:pPr>
      <w:r w:rsidRPr="001E4FE1">
        <w:rPr>
          <w:b/>
          <w:bCs/>
          <w:szCs w:val="24"/>
        </w:rPr>
        <w:t>Rationale:</w:t>
      </w:r>
      <w:r w:rsidR="004A2E45">
        <w:rPr>
          <w:b/>
          <w:bCs/>
          <w:szCs w:val="24"/>
        </w:rPr>
        <w:t xml:space="preserve"> </w:t>
      </w:r>
      <w:r w:rsidR="004A2E45" w:rsidRPr="004A2E45">
        <w:rPr>
          <w:szCs w:val="24"/>
        </w:rPr>
        <w:t>This data is necessary to fully implement PL 2021, c.603, 24-A MRSA §6951, sub-§13 and subsequent reporting.</w:t>
      </w:r>
    </w:p>
    <w:p w14:paraId="7278C351" w14:textId="7C04445B" w:rsidR="00103AEA" w:rsidRDefault="00103AEA" w:rsidP="00B80000">
      <w:pPr>
        <w:pStyle w:val="DefaultText"/>
        <w:rPr>
          <w:szCs w:val="24"/>
        </w:rPr>
      </w:pPr>
      <w:r>
        <w:rPr>
          <w:szCs w:val="24"/>
        </w:rPr>
        <w:t>-Section 2(B) Data Element NC012</w:t>
      </w:r>
      <w:r w:rsidR="00A37691">
        <w:rPr>
          <w:szCs w:val="24"/>
        </w:rPr>
        <w:t xml:space="preserve"> is new. (page 8)</w:t>
      </w:r>
    </w:p>
    <w:p w14:paraId="4ABF505E" w14:textId="2C89EBF5" w:rsidR="002C11CB" w:rsidRDefault="002C11CB" w:rsidP="00B57B21">
      <w:pPr>
        <w:pStyle w:val="DefaultText"/>
        <w:ind w:left="720"/>
        <w:rPr>
          <w:szCs w:val="24"/>
        </w:rPr>
      </w:pPr>
      <w:r w:rsidRPr="001E4FE1">
        <w:rPr>
          <w:b/>
          <w:bCs/>
          <w:szCs w:val="24"/>
        </w:rPr>
        <w:t>Rationale:</w:t>
      </w:r>
      <w:r w:rsidR="00B57B21">
        <w:rPr>
          <w:b/>
          <w:bCs/>
          <w:szCs w:val="24"/>
        </w:rPr>
        <w:t xml:space="preserve"> </w:t>
      </w:r>
      <w:r w:rsidR="00163DC5" w:rsidRPr="00163DC5">
        <w:rPr>
          <w:szCs w:val="24"/>
        </w:rPr>
        <w:t>Per</w:t>
      </w:r>
      <w:r w:rsidR="00163DC5">
        <w:rPr>
          <w:b/>
          <w:bCs/>
          <w:szCs w:val="24"/>
        </w:rPr>
        <w:t xml:space="preserve"> </w:t>
      </w:r>
      <w:r w:rsidR="00B57B21" w:rsidRPr="00AE0350">
        <w:rPr>
          <w:szCs w:val="24"/>
        </w:rPr>
        <w:t>PL 2021, c.603, 24-A MRSA §6951, sub-§13</w:t>
      </w:r>
      <w:r w:rsidR="00B57B21">
        <w:rPr>
          <w:szCs w:val="24"/>
        </w:rPr>
        <w:t xml:space="preserve"> (</w:t>
      </w:r>
      <w:r w:rsidR="007866BB">
        <w:rPr>
          <w:szCs w:val="24"/>
        </w:rPr>
        <w:t>A</w:t>
      </w:r>
      <w:r w:rsidR="00B57B21">
        <w:rPr>
          <w:szCs w:val="24"/>
        </w:rPr>
        <w:t>), the data in file type NC must be aggregated by population (NC012)</w:t>
      </w:r>
      <w:r w:rsidR="00163DC5">
        <w:rPr>
          <w:szCs w:val="24"/>
        </w:rPr>
        <w:t>.</w:t>
      </w:r>
    </w:p>
    <w:p w14:paraId="2EBB76A9" w14:textId="6AA7006F" w:rsidR="00361404" w:rsidRDefault="00361404" w:rsidP="00361404">
      <w:pPr>
        <w:pStyle w:val="DefaultText"/>
        <w:rPr>
          <w:szCs w:val="24"/>
        </w:rPr>
      </w:pPr>
      <w:r w:rsidRPr="00C77D93">
        <w:rPr>
          <w:szCs w:val="24"/>
        </w:rPr>
        <w:t>-Section 2(B)</w:t>
      </w:r>
      <w:r w:rsidR="00681960" w:rsidRPr="00C77D93">
        <w:rPr>
          <w:szCs w:val="24"/>
        </w:rPr>
        <w:t xml:space="preserve"> File </w:t>
      </w:r>
      <w:r w:rsidR="00100DF5">
        <w:rPr>
          <w:szCs w:val="24"/>
        </w:rPr>
        <w:t>T</w:t>
      </w:r>
      <w:r w:rsidR="00681960" w:rsidRPr="00C77D93">
        <w:rPr>
          <w:szCs w:val="24"/>
        </w:rPr>
        <w:t>ype AC</w:t>
      </w:r>
      <w:r w:rsidR="006B2930" w:rsidRPr="00C77D93">
        <w:rPr>
          <w:szCs w:val="24"/>
        </w:rPr>
        <w:t xml:space="preserve"> – Aggregated, Redacted Claims-Based Payments</w:t>
      </w:r>
      <w:r w:rsidR="00976C3E" w:rsidRPr="00C77D93">
        <w:rPr>
          <w:szCs w:val="24"/>
        </w:rPr>
        <w:t xml:space="preserve"> </w:t>
      </w:r>
      <w:r w:rsidR="00C77718" w:rsidRPr="00C77D93">
        <w:rPr>
          <w:szCs w:val="24"/>
        </w:rPr>
        <w:t>contains the data element</w:t>
      </w:r>
      <w:r w:rsidR="00F76FCA" w:rsidRPr="00C77D93">
        <w:rPr>
          <w:szCs w:val="24"/>
        </w:rPr>
        <w:t>s</w:t>
      </w:r>
      <w:r w:rsidR="00DE2343">
        <w:rPr>
          <w:szCs w:val="24"/>
        </w:rPr>
        <w:t xml:space="preserve"> and </w:t>
      </w:r>
      <w:r w:rsidR="00F76FCA" w:rsidRPr="00C77D93">
        <w:rPr>
          <w:szCs w:val="24"/>
        </w:rPr>
        <w:t xml:space="preserve">attributes </w:t>
      </w:r>
      <w:r w:rsidR="0025455E">
        <w:rPr>
          <w:szCs w:val="24"/>
        </w:rPr>
        <w:t xml:space="preserve">for </w:t>
      </w:r>
      <w:r w:rsidR="0096788F">
        <w:rPr>
          <w:szCs w:val="24"/>
        </w:rPr>
        <w:t>an entire</w:t>
      </w:r>
      <w:r w:rsidR="00DE2343">
        <w:rPr>
          <w:szCs w:val="24"/>
        </w:rPr>
        <w:t>ly</w:t>
      </w:r>
      <w:r w:rsidR="0096788F">
        <w:rPr>
          <w:szCs w:val="24"/>
        </w:rPr>
        <w:t xml:space="preserve"> new file type.</w:t>
      </w:r>
      <w:r w:rsidR="00D6051A">
        <w:rPr>
          <w:szCs w:val="24"/>
        </w:rPr>
        <w:t xml:space="preserve"> (pages 9-10)</w:t>
      </w:r>
    </w:p>
    <w:p w14:paraId="7D22FE53" w14:textId="005882D9" w:rsidR="0096788F" w:rsidRDefault="0096788F" w:rsidP="00361404">
      <w:pPr>
        <w:pStyle w:val="DefaultText"/>
        <w:rPr>
          <w:szCs w:val="24"/>
        </w:rPr>
      </w:pPr>
      <w:r>
        <w:rPr>
          <w:szCs w:val="24"/>
        </w:rPr>
        <w:tab/>
      </w:r>
      <w:r w:rsidRPr="00AF70EF">
        <w:rPr>
          <w:b/>
          <w:bCs/>
          <w:szCs w:val="24"/>
        </w:rPr>
        <w:t>Rationale:</w:t>
      </w:r>
      <w:r>
        <w:rPr>
          <w:szCs w:val="24"/>
        </w:rPr>
        <w:t xml:space="preserve"> Required under </w:t>
      </w:r>
      <w:r w:rsidR="00AF70EF" w:rsidRPr="00AE0350">
        <w:rPr>
          <w:szCs w:val="24"/>
        </w:rPr>
        <w:t>PL 2021, c.603, 24-A MRSA §6951, sub-§13</w:t>
      </w:r>
      <w:r w:rsidR="00AF70EF">
        <w:rPr>
          <w:szCs w:val="24"/>
        </w:rPr>
        <w:t xml:space="preserve"> (C)</w:t>
      </w:r>
    </w:p>
    <w:p w14:paraId="0203689E" w14:textId="77777777" w:rsidR="001E52D0" w:rsidRDefault="001E52D0" w:rsidP="00361404">
      <w:pPr>
        <w:pStyle w:val="DefaultText"/>
        <w:rPr>
          <w:b/>
          <w:bCs/>
          <w:szCs w:val="24"/>
        </w:rPr>
      </w:pPr>
    </w:p>
    <w:p w14:paraId="25CC7863" w14:textId="63F325F1" w:rsidR="0050327C" w:rsidRPr="0054201B" w:rsidRDefault="0050327C" w:rsidP="00361404">
      <w:pPr>
        <w:pStyle w:val="DefaultText"/>
        <w:rPr>
          <w:b/>
          <w:bCs/>
          <w:szCs w:val="24"/>
        </w:rPr>
      </w:pPr>
      <w:r w:rsidRPr="0054201B">
        <w:rPr>
          <w:b/>
          <w:bCs/>
          <w:szCs w:val="24"/>
        </w:rPr>
        <w:t xml:space="preserve">Section 2 </w:t>
      </w:r>
      <w:r w:rsidR="008A27E4" w:rsidRPr="0054201B">
        <w:rPr>
          <w:b/>
          <w:bCs/>
          <w:szCs w:val="24"/>
        </w:rPr>
        <w:t>(C)</w:t>
      </w:r>
      <w:r w:rsidR="00F225F3" w:rsidRPr="0054201B">
        <w:rPr>
          <w:b/>
          <w:bCs/>
          <w:szCs w:val="24"/>
        </w:rPr>
        <w:t xml:space="preserve"> File-Level Specifications</w:t>
      </w:r>
      <w:r w:rsidRPr="0054201B">
        <w:rPr>
          <w:b/>
          <w:bCs/>
          <w:szCs w:val="24"/>
        </w:rPr>
        <w:t>/Section 3</w:t>
      </w:r>
      <w:r w:rsidR="00B77623" w:rsidRPr="0054201B">
        <w:rPr>
          <w:b/>
          <w:bCs/>
          <w:szCs w:val="24"/>
        </w:rPr>
        <w:t xml:space="preserve"> </w:t>
      </w:r>
      <w:r w:rsidR="0054201B" w:rsidRPr="0054201B">
        <w:rPr>
          <w:b/>
          <w:bCs/>
          <w:szCs w:val="24"/>
        </w:rPr>
        <w:t>Submission Requirements</w:t>
      </w:r>
    </w:p>
    <w:p w14:paraId="5EA07FB8" w14:textId="6EC20062" w:rsidR="00AF70EF" w:rsidRDefault="00021D6D" w:rsidP="00361404">
      <w:pPr>
        <w:pStyle w:val="DefaultText"/>
        <w:rPr>
          <w:szCs w:val="24"/>
        </w:rPr>
      </w:pPr>
      <w:r>
        <w:rPr>
          <w:szCs w:val="24"/>
        </w:rPr>
        <w:t>-Section</w:t>
      </w:r>
      <w:r w:rsidR="00FF6971">
        <w:rPr>
          <w:szCs w:val="24"/>
        </w:rPr>
        <w:t>s</w:t>
      </w:r>
      <w:r>
        <w:rPr>
          <w:szCs w:val="24"/>
        </w:rPr>
        <w:t xml:space="preserve"> 2</w:t>
      </w:r>
      <w:r w:rsidR="00D6051A">
        <w:rPr>
          <w:szCs w:val="24"/>
        </w:rPr>
        <w:t>(C)</w:t>
      </w:r>
      <w:r w:rsidR="00337556">
        <w:rPr>
          <w:szCs w:val="24"/>
        </w:rPr>
        <w:t xml:space="preserve">(1), </w:t>
      </w:r>
      <w:r w:rsidR="00D6051A">
        <w:rPr>
          <w:szCs w:val="24"/>
        </w:rPr>
        <w:t>3(A)</w:t>
      </w:r>
      <w:r w:rsidR="00337556">
        <w:rPr>
          <w:szCs w:val="24"/>
        </w:rPr>
        <w:t xml:space="preserve"> and 3(B) contain </w:t>
      </w:r>
      <w:r w:rsidR="00ED324F">
        <w:rPr>
          <w:szCs w:val="24"/>
        </w:rPr>
        <w:t xml:space="preserve">both </w:t>
      </w:r>
      <w:r w:rsidR="00337556">
        <w:rPr>
          <w:szCs w:val="24"/>
        </w:rPr>
        <w:t xml:space="preserve">new and </w:t>
      </w:r>
      <w:r w:rsidR="00ED324F">
        <w:rPr>
          <w:szCs w:val="24"/>
        </w:rPr>
        <w:t xml:space="preserve">pre-existing, </w:t>
      </w:r>
      <w:r w:rsidR="00337556">
        <w:rPr>
          <w:szCs w:val="24"/>
        </w:rPr>
        <w:t xml:space="preserve">reorganized instructions. </w:t>
      </w:r>
      <w:r w:rsidR="0032498F">
        <w:rPr>
          <w:szCs w:val="24"/>
        </w:rPr>
        <w:t>(pages 10-11)</w:t>
      </w:r>
    </w:p>
    <w:p w14:paraId="104C8C20" w14:textId="6D795C2F" w:rsidR="0032498F" w:rsidRDefault="0032498F" w:rsidP="00361404">
      <w:pPr>
        <w:pStyle w:val="DefaultText"/>
        <w:rPr>
          <w:szCs w:val="24"/>
        </w:rPr>
      </w:pPr>
      <w:r>
        <w:rPr>
          <w:szCs w:val="24"/>
        </w:rPr>
        <w:tab/>
      </w:r>
      <w:r w:rsidRPr="005B2952">
        <w:rPr>
          <w:b/>
          <w:bCs/>
          <w:szCs w:val="24"/>
        </w:rPr>
        <w:t>Rationale:</w:t>
      </w:r>
      <w:r>
        <w:rPr>
          <w:szCs w:val="24"/>
        </w:rPr>
        <w:t xml:space="preserve"> </w:t>
      </w:r>
      <w:r w:rsidR="007F0366">
        <w:rPr>
          <w:szCs w:val="24"/>
        </w:rPr>
        <w:t>Improves clarity and technical consistency.</w:t>
      </w:r>
    </w:p>
    <w:p w14:paraId="10029511" w14:textId="77777777" w:rsidR="001E52D0" w:rsidRDefault="001E52D0" w:rsidP="00361404">
      <w:pPr>
        <w:pStyle w:val="DefaultText"/>
        <w:rPr>
          <w:b/>
          <w:bCs/>
          <w:szCs w:val="24"/>
        </w:rPr>
      </w:pPr>
    </w:p>
    <w:p w14:paraId="35A28DFA" w14:textId="3F480770" w:rsidR="00E41E3E" w:rsidRPr="001E52D0" w:rsidRDefault="00E41E3E" w:rsidP="00361404">
      <w:pPr>
        <w:pStyle w:val="DefaultText"/>
        <w:rPr>
          <w:b/>
          <w:bCs/>
          <w:szCs w:val="24"/>
        </w:rPr>
      </w:pPr>
      <w:r w:rsidRPr="001E52D0">
        <w:rPr>
          <w:b/>
          <w:bCs/>
          <w:szCs w:val="24"/>
        </w:rPr>
        <w:t>Appendix A/Appendix C</w:t>
      </w:r>
      <w:r w:rsidR="006B03C5">
        <w:rPr>
          <w:b/>
          <w:bCs/>
          <w:szCs w:val="24"/>
        </w:rPr>
        <w:t xml:space="preserve"> (old)</w:t>
      </w:r>
    </w:p>
    <w:p w14:paraId="63D2764D" w14:textId="21915070" w:rsidR="005B2952" w:rsidRDefault="00C75ABC" w:rsidP="00361404">
      <w:pPr>
        <w:pStyle w:val="DefaultText"/>
        <w:rPr>
          <w:szCs w:val="24"/>
        </w:rPr>
      </w:pPr>
      <w:r>
        <w:rPr>
          <w:szCs w:val="24"/>
        </w:rPr>
        <w:t>-</w:t>
      </w:r>
      <w:r w:rsidR="00943BFC">
        <w:rPr>
          <w:szCs w:val="24"/>
        </w:rPr>
        <w:t>Appendix A</w:t>
      </w:r>
      <w:r w:rsidR="008613C6">
        <w:rPr>
          <w:szCs w:val="24"/>
        </w:rPr>
        <w:t xml:space="preserve"> footnote</w:t>
      </w:r>
      <w:r w:rsidR="00943BFC">
        <w:rPr>
          <w:szCs w:val="24"/>
        </w:rPr>
        <w:t xml:space="preserve"> and </w:t>
      </w:r>
      <w:r w:rsidR="0083140C">
        <w:rPr>
          <w:szCs w:val="24"/>
        </w:rPr>
        <w:t xml:space="preserve">original </w:t>
      </w:r>
      <w:r>
        <w:rPr>
          <w:szCs w:val="24"/>
        </w:rPr>
        <w:t>Appendix C deleted. (page</w:t>
      </w:r>
      <w:r w:rsidR="00A1353A">
        <w:rPr>
          <w:szCs w:val="24"/>
        </w:rPr>
        <w:t>s</w:t>
      </w:r>
      <w:r>
        <w:rPr>
          <w:szCs w:val="24"/>
        </w:rPr>
        <w:t xml:space="preserve"> </w:t>
      </w:r>
      <w:r w:rsidR="00F12AE6">
        <w:rPr>
          <w:szCs w:val="24"/>
        </w:rPr>
        <w:t xml:space="preserve">13 and </w:t>
      </w:r>
      <w:r w:rsidR="005073FF">
        <w:rPr>
          <w:szCs w:val="24"/>
        </w:rPr>
        <w:t>15-20)</w:t>
      </w:r>
    </w:p>
    <w:p w14:paraId="32BF91FC" w14:textId="40DE26A2" w:rsidR="005073FF" w:rsidRPr="00C77D93" w:rsidRDefault="005073FF" w:rsidP="00361404">
      <w:pPr>
        <w:pStyle w:val="DefaultText"/>
        <w:rPr>
          <w:szCs w:val="24"/>
        </w:rPr>
      </w:pPr>
      <w:r>
        <w:rPr>
          <w:szCs w:val="24"/>
        </w:rPr>
        <w:tab/>
      </w:r>
      <w:r w:rsidRPr="00FF33D1">
        <w:rPr>
          <w:b/>
          <w:bCs/>
          <w:szCs w:val="24"/>
        </w:rPr>
        <w:t>Rationale:</w:t>
      </w:r>
      <w:r>
        <w:rPr>
          <w:szCs w:val="24"/>
        </w:rPr>
        <w:t xml:space="preserve"> </w:t>
      </w:r>
      <w:r w:rsidR="002F5E97">
        <w:rPr>
          <w:szCs w:val="24"/>
        </w:rPr>
        <w:t>The i</w:t>
      </w:r>
      <w:r w:rsidR="00FF33D1">
        <w:rPr>
          <w:szCs w:val="24"/>
        </w:rPr>
        <w:t>nformation</w:t>
      </w:r>
      <w:r w:rsidR="002F5E97">
        <w:rPr>
          <w:szCs w:val="24"/>
        </w:rPr>
        <w:t xml:space="preserve"> is</w:t>
      </w:r>
      <w:r w:rsidR="00FF33D1">
        <w:rPr>
          <w:szCs w:val="24"/>
        </w:rPr>
        <w:t xml:space="preserve"> no longer needed or useful.</w:t>
      </w:r>
    </w:p>
    <w:p w14:paraId="2A7B4CD5" w14:textId="77777777" w:rsidR="0070741A" w:rsidRDefault="0070741A"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37845A8C" w14:textId="61CDAD39" w:rsidR="004F133D" w:rsidRPr="004F133D" w:rsidRDefault="004F133D"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sidRPr="004F133D">
        <w:rPr>
          <w:b/>
          <w:bCs/>
          <w:sz w:val="24"/>
          <w:szCs w:val="24"/>
        </w:rPr>
        <w:t>Appendix C (new)</w:t>
      </w:r>
    </w:p>
    <w:p w14:paraId="0500B44B" w14:textId="624DEB29" w:rsidR="0028384D" w:rsidRDefault="004F133D"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 w:val="24"/>
          <w:szCs w:val="24"/>
        </w:rPr>
      </w:pPr>
      <w:r>
        <w:rPr>
          <w:sz w:val="24"/>
          <w:szCs w:val="24"/>
        </w:rPr>
        <w:t>-</w:t>
      </w:r>
      <w:r w:rsidR="00D65A54" w:rsidRPr="002009DC">
        <w:rPr>
          <w:sz w:val="24"/>
          <w:szCs w:val="24"/>
        </w:rPr>
        <w:t>New Appendix C</w:t>
      </w:r>
      <w:r w:rsidR="00E57D96" w:rsidRPr="002009DC">
        <w:rPr>
          <w:sz w:val="24"/>
          <w:szCs w:val="24"/>
        </w:rPr>
        <w:t xml:space="preserve"> </w:t>
      </w:r>
      <w:r w:rsidR="003B3903" w:rsidRPr="002009DC">
        <w:rPr>
          <w:sz w:val="24"/>
          <w:szCs w:val="24"/>
        </w:rPr>
        <w:t xml:space="preserve">introduces a </w:t>
      </w:r>
      <w:r w:rsidR="00486866" w:rsidRPr="002009DC">
        <w:rPr>
          <w:sz w:val="24"/>
          <w:szCs w:val="24"/>
        </w:rPr>
        <w:t>table</w:t>
      </w:r>
      <w:r w:rsidR="0019665E" w:rsidRPr="002009DC">
        <w:rPr>
          <w:sz w:val="24"/>
          <w:szCs w:val="24"/>
        </w:rPr>
        <w:t xml:space="preserve"> that contains </w:t>
      </w:r>
      <w:r w:rsidR="006E19F7" w:rsidRPr="002009DC">
        <w:rPr>
          <w:sz w:val="24"/>
          <w:szCs w:val="24"/>
        </w:rPr>
        <w:t xml:space="preserve">behavioral health provider type taxonomy </w:t>
      </w:r>
      <w:r w:rsidR="002009DC" w:rsidRPr="002009DC">
        <w:rPr>
          <w:sz w:val="24"/>
          <w:szCs w:val="24"/>
        </w:rPr>
        <w:t>codes and descriptions.</w:t>
      </w:r>
      <w:r w:rsidR="006230CF">
        <w:rPr>
          <w:sz w:val="24"/>
          <w:szCs w:val="24"/>
        </w:rPr>
        <w:t xml:space="preserve"> (pages 21-24)</w:t>
      </w:r>
    </w:p>
    <w:p w14:paraId="34989D7E" w14:textId="135DF4FD" w:rsidR="0070741A" w:rsidRPr="002009DC" w:rsidRDefault="0070741A" w:rsidP="00AF1BFD">
      <w:pPr>
        <w:pStyle w:val="DefaultText"/>
        <w:ind w:left="720"/>
        <w:rPr>
          <w:szCs w:val="24"/>
        </w:rPr>
      </w:pPr>
      <w:r w:rsidRPr="006230CF">
        <w:rPr>
          <w:b/>
          <w:bCs/>
          <w:szCs w:val="24"/>
        </w:rPr>
        <w:t>Rationale:</w:t>
      </w:r>
      <w:r>
        <w:rPr>
          <w:szCs w:val="24"/>
        </w:rPr>
        <w:t xml:space="preserve"> </w:t>
      </w:r>
      <w:r w:rsidR="003A5969">
        <w:rPr>
          <w:szCs w:val="24"/>
        </w:rPr>
        <w:t xml:space="preserve">The information in this table is useful for </w:t>
      </w:r>
      <w:r w:rsidR="005238AC">
        <w:rPr>
          <w:szCs w:val="24"/>
        </w:rPr>
        <w:t>responding</w:t>
      </w:r>
      <w:r w:rsidR="00F066C5">
        <w:rPr>
          <w:szCs w:val="24"/>
        </w:rPr>
        <w:t xml:space="preserve"> to NC010</w:t>
      </w:r>
      <w:r w:rsidR="00AF1BFD">
        <w:rPr>
          <w:szCs w:val="24"/>
        </w:rPr>
        <w:t xml:space="preserve"> - </w:t>
      </w:r>
      <w:r w:rsidR="00AF1BFD" w:rsidRPr="00AF1BFD">
        <w:rPr>
          <w:szCs w:val="24"/>
        </w:rPr>
        <w:t>Total Dollars Non-Claims-Based Payments (BH/SUD Only Portion)</w:t>
      </w:r>
      <w:r w:rsidR="00DF7EC8">
        <w:rPr>
          <w:szCs w:val="24"/>
        </w:rPr>
        <w:t>.</w:t>
      </w:r>
    </w:p>
    <w:p w14:paraId="410E364F" w14:textId="77777777" w:rsidR="0028384D" w:rsidRDefault="0028384D"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p>
    <w:p w14:paraId="3C060552" w14:textId="3A9F509E" w:rsidR="00430E99" w:rsidRPr="003B1781" w:rsidRDefault="001D1A57" w:rsidP="000F24D2">
      <w:pPr>
        <w:rPr>
          <w:sz w:val="24"/>
          <w:szCs w:val="24"/>
        </w:rPr>
      </w:pPr>
      <w:r w:rsidRPr="00087EEE">
        <w:rPr>
          <w:b/>
          <w:bCs/>
          <w:sz w:val="24"/>
          <w:szCs w:val="24"/>
        </w:rPr>
        <w:t xml:space="preserve">Statutory Authority:  </w:t>
      </w:r>
      <w:r w:rsidR="00430E99" w:rsidRPr="003B1781">
        <w:rPr>
          <w:sz w:val="24"/>
          <w:szCs w:val="24"/>
        </w:rPr>
        <w:t xml:space="preserve">22 M.R.S. </w:t>
      </w:r>
      <w:r w:rsidR="000F24D2" w:rsidRPr="003B1781">
        <w:rPr>
          <w:sz w:val="24"/>
          <w:szCs w:val="24"/>
        </w:rPr>
        <w:t>§§8703(1); 8704(1) &amp; (4)</w:t>
      </w:r>
      <w:r w:rsidR="007463CF">
        <w:rPr>
          <w:sz w:val="24"/>
          <w:szCs w:val="24"/>
        </w:rPr>
        <w:t>; and 24-A M.R.S.</w:t>
      </w:r>
      <w:r w:rsidR="007463CF" w:rsidRPr="007463CF">
        <w:rPr>
          <w:sz w:val="24"/>
          <w:szCs w:val="24"/>
        </w:rPr>
        <w:t xml:space="preserve"> </w:t>
      </w:r>
      <w:r w:rsidR="007463CF" w:rsidRPr="003B1781">
        <w:rPr>
          <w:sz w:val="24"/>
          <w:szCs w:val="24"/>
        </w:rPr>
        <w:t>§</w:t>
      </w:r>
      <w:r w:rsidR="007463CF">
        <w:rPr>
          <w:sz w:val="24"/>
          <w:szCs w:val="24"/>
        </w:rPr>
        <w:t>6951</w:t>
      </w:r>
    </w:p>
    <w:p w14:paraId="2493DE49" w14:textId="20BE350D" w:rsidR="003C3A76" w:rsidRPr="00995FAD" w:rsidRDefault="001D1A57" w:rsidP="00995FAD">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b/>
          <w:bCs/>
          <w:sz w:val="24"/>
          <w:szCs w:val="24"/>
        </w:rPr>
      </w:pPr>
      <w:r w:rsidRPr="00087EEE">
        <w:rPr>
          <w:b/>
          <w:bCs/>
          <w:sz w:val="24"/>
          <w:szCs w:val="24"/>
        </w:rPr>
        <w:t xml:space="preserve">Effective Date:  </w:t>
      </w:r>
      <w:r w:rsidRPr="00087EEE">
        <w:rPr>
          <w:sz w:val="24"/>
          <w:szCs w:val="24"/>
        </w:rPr>
        <w:t>TB</w:t>
      </w:r>
      <w:r w:rsidR="00995FAD">
        <w:rPr>
          <w:sz w:val="24"/>
          <w:szCs w:val="24"/>
        </w:rPr>
        <w:t>D</w:t>
      </w:r>
    </w:p>
    <w:sectPr w:rsidR="003C3A76" w:rsidRPr="00995FAD" w:rsidSect="003C3A76">
      <w:pgSz w:w="12240" w:h="15840" w:code="1"/>
      <w:pgMar w:top="1440" w:right="1440" w:bottom="1440" w:left="1440" w:header="720" w:footer="432"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CA4C" w14:textId="77777777" w:rsidR="00227492" w:rsidRDefault="00227492" w:rsidP="00364CCC">
      <w:r>
        <w:separator/>
      </w:r>
    </w:p>
    <w:p w14:paraId="04D0AF7D" w14:textId="77777777" w:rsidR="00227492" w:rsidRDefault="00227492" w:rsidP="00364CCC"/>
  </w:endnote>
  <w:endnote w:type="continuationSeparator" w:id="0">
    <w:p w14:paraId="080609A5" w14:textId="77777777" w:rsidR="00227492" w:rsidRDefault="00227492" w:rsidP="00364CCC">
      <w:r>
        <w:continuationSeparator/>
      </w:r>
    </w:p>
    <w:p w14:paraId="6AACA620" w14:textId="77777777" w:rsidR="00227492" w:rsidRDefault="00227492"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A4C8" w14:textId="77777777" w:rsidR="00227492" w:rsidRDefault="00227492" w:rsidP="00364CCC">
      <w:r>
        <w:separator/>
      </w:r>
    </w:p>
    <w:p w14:paraId="29AC7688" w14:textId="77777777" w:rsidR="00227492" w:rsidRDefault="00227492" w:rsidP="00364CCC"/>
  </w:footnote>
  <w:footnote w:type="continuationSeparator" w:id="0">
    <w:p w14:paraId="787A4E30" w14:textId="77777777" w:rsidR="00227492" w:rsidRDefault="00227492" w:rsidP="00364CCC">
      <w:r>
        <w:continuationSeparator/>
      </w:r>
    </w:p>
    <w:p w14:paraId="07167F7A" w14:textId="77777777" w:rsidR="00227492" w:rsidRDefault="00227492" w:rsidP="00364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2"/>
  </w:num>
  <w:num w:numId="6">
    <w:abstractNumId w:val="13"/>
  </w:num>
  <w:num w:numId="7">
    <w:abstractNumId w:val="7"/>
  </w:num>
  <w:num w:numId="8">
    <w:abstractNumId w:val="12"/>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14"/>
  </w:num>
  <w:num w:numId="18">
    <w:abstractNumId w:val="3"/>
  </w:num>
  <w:num w:numId="19">
    <w:abstractNumId w:val="11"/>
  </w:num>
  <w:num w:numId="20">
    <w:abstractNumId w:val="5"/>
  </w:num>
  <w:num w:numId="21">
    <w:abstractNumId w:val="6"/>
  </w:num>
  <w:num w:numId="22">
    <w:abstractNumId w:val="1"/>
  </w:num>
  <w:num w:numId="23">
    <w:abstractNumId w:val="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21D6D"/>
    <w:rsid w:val="00031690"/>
    <w:rsid w:val="000355F3"/>
    <w:rsid w:val="00037A51"/>
    <w:rsid w:val="00037C26"/>
    <w:rsid w:val="00045891"/>
    <w:rsid w:val="0004611D"/>
    <w:rsid w:val="00054D79"/>
    <w:rsid w:val="00057885"/>
    <w:rsid w:val="00057B41"/>
    <w:rsid w:val="00063DAB"/>
    <w:rsid w:val="00064695"/>
    <w:rsid w:val="000654E6"/>
    <w:rsid w:val="000657FC"/>
    <w:rsid w:val="0006758A"/>
    <w:rsid w:val="000727EE"/>
    <w:rsid w:val="00073CC1"/>
    <w:rsid w:val="0008654E"/>
    <w:rsid w:val="00086917"/>
    <w:rsid w:val="00090173"/>
    <w:rsid w:val="000929D8"/>
    <w:rsid w:val="00096B64"/>
    <w:rsid w:val="000A158F"/>
    <w:rsid w:val="000A6B96"/>
    <w:rsid w:val="000A7508"/>
    <w:rsid w:val="000B0796"/>
    <w:rsid w:val="000C6E2A"/>
    <w:rsid w:val="000D0CBB"/>
    <w:rsid w:val="000D122C"/>
    <w:rsid w:val="000D1358"/>
    <w:rsid w:val="000E4427"/>
    <w:rsid w:val="000E4F9D"/>
    <w:rsid w:val="000E705B"/>
    <w:rsid w:val="000E7C0D"/>
    <w:rsid w:val="000F24D2"/>
    <w:rsid w:val="00100DF5"/>
    <w:rsid w:val="00102E53"/>
    <w:rsid w:val="00103AEA"/>
    <w:rsid w:val="001120CA"/>
    <w:rsid w:val="00114FB7"/>
    <w:rsid w:val="0011568A"/>
    <w:rsid w:val="00116907"/>
    <w:rsid w:val="001214E6"/>
    <w:rsid w:val="001221AC"/>
    <w:rsid w:val="00123E3B"/>
    <w:rsid w:val="00135750"/>
    <w:rsid w:val="00136C17"/>
    <w:rsid w:val="00143AE5"/>
    <w:rsid w:val="0014671D"/>
    <w:rsid w:val="001504E4"/>
    <w:rsid w:val="001608CF"/>
    <w:rsid w:val="00163DC5"/>
    <w:rsid w:val="00167A20"/>
    <w:rsid w:val="00171A0C"/>
    <w:rsid w:val="001744FF"/>
    <w:rsid w:val="0017771B"/>
    <w:rsid w:val="001779E9"/>
    <w:rsid w:val="0018675B"/>
    <w:rsid w:val="0019665E"/>
    <w:rsid w:val="001A48E0"/>
    <w:rsid w:val="001A4C8A"/>
    <w:rsid w:val="001A7E5E"/>
    <w:rsid w:val="001B0215"/>
    <w:rsid w:val="001B1476"/>
    <w:rsid w:val="001C18A4"/>
    <w:rsid w:val="001D1700"/>
    <w:rsid w:val="001D1A57"/>
    <w:rsid w:val="001D3930"/>
    <w:rsid w:val="001E0F3C"/>
    <w:rsid w:val="001E1EF1"/>
    <w:rsid w:val="001E24E7"/>
    <w:rsid w:val="001E4FE1"/>
    <w:rsid w:val="001E52D0"/>
    <w:rsid w:val="001E6895"/>
    <w:rsid w:val="001F6E46"/>
    <w:rsid w:val="002009DC"/>
    <w:rsid w:val="00200EE6"/>
    <w:rsid w:val="00202F4B"/>
    <w:rsid w:val="00203093"/>
    <w:rsid w:val="0020309E"/>
    <w:rsid w:val="00204C39"/>
    <w:rsid w:val="00206623"/>
    <w:rsid w:val="00210051"/>
    <w:rsid w:val="00215CE7"/>
    <w:rsid w:val="00224DDB"/>
    <w:rsid w:val="002256F4"/>
    <w:rsid w:val="0022622D"/>
    <w:rsid w:val="00227492"/>
    <w:rsid w:val="002324D9"/>
    <w:rsid w:val="00237EED"/>
    <w:rsid w:val="002411C9"/>
    <w:rsid w:val="00244707"/>
    <w:rsid w:val="0024730A"/>
    <w:rsid w:val="00247964"/>
    <w:rsid w:val="0025024E"/>
    <w:rsid w:val="0025455E"/>
    <w:rsid w:val="002571EA"/>
    <w:rsid w:val="00260620"/>
    <w:rsid w:val="00262757"/>
    <w:rsid w:val="00267072"/>
    <w:rsid w:val="00271865"/>
    <w:rsid w:val="00271FD1"/>
    <w:rsid w:val="002771F3"/>
    <w:rsid w:val="00281309"/>
    <w:rsid w:val="00282DDB"/>
    <w:rsid w:val="002830A5"/>
    <w:rsid w:val="0028384D"/>
    <w:rsid w:val="0028388E"/>
    <w:rsid w:val="00284CE9"/>
    <w:rsid w:val="00294A0E"/>
    <w:rsid w:val="002A38FC"/>
    <w:rsid w:val="002B0C91"/>
    <w:rsid w:val="002C0CD8"/>
    <w:rsid w:val="002C11CB"/>
    <w:rsid w:val="002C2B55"/>
    <w:rsid w:val="002C4C59"/>
    <w:rsid w:val="002C53E9"/>
    <w:rsid w:val="002D2222"/>
    <w:rsid w:val="002D59D4"/>
    <w:rsid w:val="002F18D1"/>
    <w:rsid w:val="002F22E4"/>
    <w:rsid w:val="002F37EC"/>
    <w:rsid w:val="002F3AA4"/>
    <w:rsid w:val="002F5E97"/>
    <w:rsid w:val="00311EEE"/>
    <w:rsid w:val="0031647E"/>
    <w:rsid w:val="00321022"/>
    <w:rsid w:val="00321AB6"/>
    <w:rsid w:val="0032498F"/>
    <w:rsid w:val="0033275F"/>
    <w:rsid w:val="00334F10"/>
    <w:rsid w:val="00337556"/>
    <w:rsid w:val="00341B11"/>
    <w:rsid w:val="00342037"/>
    <w:rsid w:val="00342BB5"/>
    <w:rsid w:val="00350A4B"/>
    <w:rsid w:val="00353564"/>
    <w:rsid w:val="00353C87"/>
    <w:rsid w:val="0035535F"/>
    <w:rsid w:val="00361404"/>
    <w:rsid w:val="003628CD"/>
    <w:rsid w:val="00364CCC"/>
    <w:rsid w:val="00370545"/>
    <w:rsid w:val="00372E0D"/>
    <w:rsid w:val="00373B27"/>
    <w:rsid w:val="003759BC"/>
    <w:rsid w:val="003810F5"/>
    <w:rsid w:val="00383BD0"/>
    <w:rsid w:val="003864C8"/>
    <w:rsid w:val="003A4682"/>
    <w:rsid w:val="003A5969"/>
    <w:rsid w:val="003B0329"/>
    <w:rsid w:val="003B1781"/>
    <w:rsid w:val="003B3903"/>
    <w:rsid w:val="003B47D8"/>
    <w:rsid w:val="003B77DA"/>
    <w:rsid w:val="003C1FF8"/>
    <w:rsid w:val="003C3A76"/>
    <w:rsid w:val="003D0973"/>
    <w:rsid w:val="003D2B6E"/>
    <w:rsid w:val="003D3A49"/>
    <w:rsid w:val="003D5832"/>
    <w:rsid w:val="003D5EA2"/>
    <w:rsid w:val="003D6A6A"/>
    <w:rsid w:val="003D7386"/>
    <w:rsid w:val="003E0ACD"/>
    <w:rsid w:val="003E315E"/>
    <w:rsid w:val="003E3952"/>
    <w:rsid w:val="003E68A6"/>
    <w:rsid w:val="003E6E25"/>
    <w:rsid w:val="003F1575"/>
    <w:rsid w:val="003F45D2"/>
    <w:rsid w:val="004039C5"/>
    <w:rsid w:val="00406F7D"/>
    <w:rsid w:val="004074F5"/>
    <w:rsid w:val="00407F71"/>
    <w:rsid w:val="00426E7B"/>
    <w:rsid w:val="00430E99"/>
    <w:rsid w:val="00433AE9"/>
    <w:rsid w:val="0044020D"/>
    <w:rsid w:val="00440B9F"/>
    <w:rsid w:val="00442073"/>
    <w:rsid w:val="00473801"/>
    <w:rsid w:val="00473EA0"/>
    <w:rsid w:val="00476DE9"/>
    <w:rsid w:val="00486866"/>
    <w:rsid w:val="00490272"/>
    <w:rsid w:val="00491264"/>
    <w:rsid w:val="004921C0"/>
    <w:rsid w:val="004A05D6"/>
    <w:rsid w:val="004A2E45"/>
    <w:rsid w:val="004C69E5"/>
    <w:rsid w:val="004D03B8"/>
    <w:rsid w:val="004D2707"/>
    <w:rsid w:val="004D27F5"/>
    <w:rsid w:val="004D47FF"/>
    <w:rsid w:val="004D6887"/>
    <w:rsid w:val="004E0F5F"/>
    <w:rsid w:val="004E6FA0"/>
    <w:rsid w:val="004E7B37"/>
    <w:rsid w:val="004F133D"/>
    <w:rsid w:val="004F1EDF"/>
    <w:rsid w:val="00500C17"/>
    <w:rsid w:val="0050327C"/>
    <w:rsid w:val="005043EA"/>
    <w:rsid w:val="00505902"/>
    <w:rsid w:val="005073FF"/>
    <w:rsid w:val="005109EA"/>
    <w:rsid w:val="00515DE6"/>
    <w:rsid w:val="005170ED"/>
    <w:rsid w:val="005176B7"/>
    <w:rsid w:val="00522EAA"/>
    <w:rsid w:val="005238AC"/>
    <w:rsid w:val="00523AC7"/>
    <w:rsid w:val="00534B19"/>
    <w:rsid w:val="00536460"/>
    <w:rsid w:val="00536C0E"/>
    <w:rsid w:val="0054201B"/>
    <w:rsid w:val="0054695F"/>
    <w:rsid w:val="00547F93"/>
    <w:rsid w:val="00553354"/>
    <w:rsid w:val="00554A1F"/>
    <w:rsid w:val="00557ADA"/>
    <w:rsid w:val="00566272"/>
    <w:rsid w:val="00571030"/>
    <w:rsid w:val="00574702"/>
    <w:rsid w:val="005869F1"/>
    <w:rsid w:val="00587073"/>
    <w:rsid w:val="0059018A"/>
    <w:rsid w:val="005A488F"/>
    <w:rsid w:val="005A6F82"/>
    <w:rsid w:val="005B2952"/>
    <w:rsid w:val="005B4034"/>
    <w:rsid w:val="005C2227"/>
    <w:rsid w:val="005C3B00"/>
    <w:rsid w:val="005C4908"/>
    <w:rsid w:val="005C58DA"/>
    <w:rsid w:val="005D2690"/>
    <w:rsid w:val="005D55A4"/>
    <w:rsid w:val="005E4667"/>
    <w:rsid w:val="005E4F99"/>
    <w:rsid w:val="00603CE7"/>
    <w:rsid w:val="006230CF"/>
    <w:rsid w:val="0062431C"/>
    <w:rsid w:val="006279EF"/>
    <w:rsid w:val="0063708A"/>
    <w:rsid w:val="00640059"/>
    <w:rsid w:val="00640111"/>
    <w:rsid w:val="0064190F"/>
    <w:rsid w:val="00645394"/>
    <w:rsid w:val="00646766"/>
    <w:rsid w:val="00656A0B"/>
    <w:rsid w:val="00661D21"/>
    <w:rsid w:val="006761F1"/>
    <w:rsid w:val="00681252"/>
    <w:rsid w:val="00681960"/>
    <w:rsid w:val="00682FC0"/>
    <w:rsid w:val="0069758D"/>
    <w:rsid w:val="006A14BD"/>
    <w:rsid w:val="006A38B2"/>
    <w:rsid w:val="006B03C5"/>
    <w:rsid w:val="006B05C4"/>
    <w:rsid w:val="006B067B"/>
    <w:rsid w:val="006B208E"/>
    <w:rsid w:val="006B2930"/>
    <w:rsid w:val="006C3098"/>
    <w:rsid w:val="006C7517"/>
    <w:rsid w:val="006D0F79"/>
    <w:rsid w:val="006E19F7"/>
    <w:rsid w:val="006E2533"/>
    <w:rsid w:val="006E5D4D"/>
    <w:rsid w:val="006E5F4F"/>
    <w:rsid w:val="006E7FAD"/>
    <w:rsid w:val="0070090F"/>
    <w:rsid w:val="00705EE1"/>
    <w:rsid w:val="0070741A"/>
    <w:rsid w:val="00717341"/>
    <w:rsid w:val="007302E6"/>
    <w:rsid w:val="007344F1"/>
    <w:rsid w:val="00734A51"/>
    <w:rsid w:val="00735C81"/>
    <w:rsid w:val="00740178"/>
    <w:rsid w:val="00742F93"/>
    <w:rsid w:val="007463CF"/>
    <w:rsid w:val="007473C4"/>
    <w:rsid w:val="007475C4"/>
    <w:rsid w:val="0075068A"/>
    <w:rsid w:val="00751CFD"/>
    <w:rsid w:val="007572D1"/>
    <w:rsid w:val="00757326"/>
    <w:rsid w:val="0076278A"/>
    <w:rsid w:val="00762E91"/>
    <w:rsid w:val="007675C0"/>
    <w:rsid w:val="007709A2"/>
    <w:rsid w:val="007721D5"/>
    <w:rsid w:val="0077633F"/>
    <w:rsid w:val="0077748C"/>
    <w:rsid w:val="00782C39"/>
    <w:rsid w:val="00785AAA"/>
    <w:rsid w:val="007866BB"/>
    <w:rsid w:val="007874D0"/>
    <w:rsid w:val="007953B3"/>
    <w:rsid w:val="007A0217"/>
    <w:rsid w:val="007A2AAF"/>
    <w:rsid w:val="007B2ED6"/>
    <w:rsid w:val="007B6278"/>
    <w:rsid w:val="007B6E06"/>
    <w:rsid w:val="007B7832"/>
    <w:rsid w:val="007C5F0A"/>
    <w:rsid w:val="007E3C67"/>
    <w:rsid w:val="007E6D76"/>
    <w:rsid w:val="007E77A5"/>
    <w:rsid w:val="007F0302"/>
    <w:rsid w:val="007F0366"/>
    <w:rsid w:val="007F4AFD"/>
    <w:rsid w:val="007F55DE"/>
    <w:rsid w:val="007F640F"/>
    <w:rsid w:val="00802F66"/>
    <w:rsid w:val="0080378D"/>
    <w:rsid w:val="00811CC1"/>
    <w:rsid w:val="00813966"/>
    <w:rsid w:val="00813AA0"/>
    <w:rsid w:val="00814AFA"/>
    <w:rsid w:val="00820B07"/>
    <w:rsid w:val="0083140C"/>
    <w:rsid w:val="00833E30"/>
    <w:rsid w:val="008370BC"/>
    <w:rsid w:val="0083746F"/>
    <w:rsid w:val="0084240D"/>
    <w:rsid w:val="008429F9"/>
    <w:rsid w:val="00850319"/>
    <w:rsid w:val="008612F2"/>
    <w:rsid w:val="008613C6"/>
    <w:rsid w:val="00865326"/>
    <w:rsid w:val="00865DA9"/>
    <w:rsid w:val="00874C47"/>
    <w:rsid w:val="00876746"/>
    <w:rsid w:val="00876AC3"/>
    <w:rsid w:val="00880F55"/>
    <w:rsid w:val="008834BC"/>
    <w:rsid w:val="00884FBD"/>
    <w:rsid w:val="008871A5"/>
    <w:rsid w:val="00892A60"/>
    <w:rsid w:val="00893F2E"/>
    <w:rsid w:val="00895CDA"/>
    <w:rsid w:val="008A27E4"/>
    <w:rsid w:val="008A59A1"/>
    <w:rsid w:val="008B2D6D"/>
    <w:rsid w:val="008B46F8"/>
    <w:rsid w:val="008B7F1C"/>
    <w:rsid w:val="008C62E1"/>
    <w:rsid w:val="008D078B"/>
    <w:rsid w:val="008D3D0F"/>
    <w:rsid w:val="008D4B3C"/>
    <w:rsid w:val="008E5FA8"/>
    <w:rsid w:val="008F18AE"/>
    <w:rsid w:val="00906D42"/>
    <w:rsid w:val="00913485"/>
    <w:rsid w:val="00916C26"/>
    <w:rsid w:val="00917D7F"/>
    <w:rsid w:val="00920AA6"/>
    <w:rsid w:val="00921561"/>
    <w:rsid w:val="0092463D"/>
    <w:rsid w:val="00924DBD"/>
    <w:rsid w:val="0093637B"/>
    <w:rsid w:val="00941AF3"/>
    <w:rsid w:val="00943BFC"/>
    <w:rsid w:val="00943F6B"/>
    <w:rsid w:val="00946CAF"/>
    <w:rsid w:val="00950B9C"/>
    <w:rsid w:val="00951B4F"/>
    <w:rsid w:val="00954512"/>
    <w:rsid w:val="00954E89"/>
    <w:rsid w:val="0096136E"/>
    <w:rsid w:val="00965579"/>
    <w:rsid w:val="0096788F"/>
    <w:rsid w:val="00974EEF"/>
    <w:rsid w:val="009756D6"/>
    <w:rsid w:val="00976C3E"/>
    <w:rsid w:val="009818E5"/>
    <w:rsid w:val="00982C84"/>
    <w:rsid w:val="00982EA9"/>
    <w:rsid w:val="00983108"/>
    <w:rsid w:val="0098613D"/>
    <w:rsid w:val="00986212"/>
    <w:rsid w:val="009959E2"/>
    <w:rsid w:val="00995FAD"/>
    <w:rsid w:val="009A1EEC"/>
    <w:rsid w:val="009B0153"/>
    <w:rsid w:val="009B4D81"/>
    <w:rsid w:val="009B6CB5"/>
    <w:rsid w:val="009C46CA"/>
    <w:rsid w:val="009D29D1"/>
    <w:rsid w:val="009D3837"/>
    <w:rsid w:val="009D6C8D"/>
    <w:rsid w:val="009F03FA"/>
    <w:rsid w:val="009F24C2"/>
    <w:rsid w:val="009F32C4"/>
    <w:rsid w:val="009F3329"/>
    <w:rsid w:val="00A01571"/>
    <w:rsid w:val="00A040A7"/>
    <w:rsid w:val="00A1353A"/>
    <w:rsid w:val="00A1575A"/>
    <w:rsid w:val="00A17EA1"/>
    <w:rsid w:val="00A22FAA"/>
    <w:rsid w:val="00A26B11"/>
    <w:rsid w:val="00A26C87"/>
    <w:rsid w:val="00A303A9"/>
    <w:rsid w:val="00A3057B"/>
    <w:rsid w:val="00A36897"/>
    <w:rsid w:val="00A37691"/>
    <w:rsid w:val="00A408DB"/>
    <w:rsid w:val="00A4628F"/>
    <w:rsid w:val="00A46D32"/>
    <w:rsid w:val="00A55106"/>
    <w:rsid w:val="00A56E04"/>
    <w:rsid w:val="00A61BB5"/>
    <w:rsid w:val="00A63C01"/>
    <w:rsid w:val="00A754ED"/>
    <w:rsid w:val="00A85929"/>
    <w:rsid w:val="00A92349"/>
    <w:rsid w:val="00A95098"/>
    <w:rsid w:val="00A95230"/>
    <w:rsid w:val="00AA4245"/>
    <w:rsid w:val="00AA5562"/>
    <w:rsid w:val="00AB071E"/>
    <w:rsid w:val="00AB0E27"/>
    <w:rsid w:val="00AC4A2E"/>
    <w:rsid w:val="00AD42B6"/>
    <w:rsid w:val="00AD55F0"/>
    <w:rsid w:val="00AE0350"/>
    <w:rsid w:val="00AE5B98"/>
    <w:rsid w:val="00AE6AE5"/>
    <w:rsid w:val="00AF14D9"/>
    <w:rsid w:val="00AF1BFD"/>
    <w:rsid w:val="00AF70EF"/>
    <w:rsid w:val="00B00F2B"/>
    <w:rsid w:val="00B063F3"/>
    <w:rsid w:val="00B10A93"/>
    <w:rsid w:val="00B152BF"/>
    <w:rsid w:val="00B20211"/>
    <w:rsid w:val="00B20CC7"/>
    <w:rsid w:val="00B22265"/>
    <w:rsid w:val="00B25519"/>
    <w:rsid w:val="00B317A0"/>
    <w:rsid w:val="00B321C4"/>
    <w:rsid w:val="00B4147C"/>
    <w:rsid w:val="00B448D9"/>
    <w:rsid w:val="00B46766"/>
    <w:rsid w:val="00B467B6"/>
    <w:rsid w:val="00B540A6"/>
    <w:rsid w:val="00B57B21"/>
    <w:rsid w:val="00B614B1"/>
    <w:rsid w:val="00B61D82"/>
    <w:rsid w:val="00B6563C"/>
    <w:rsid w:val="00B664CC"/>
    <w:rsid w:val="00B74E74"/>
    <w:rsid w:val="00B7541D"/>
    <w:rsid w:val="00B769F1"/>
    <w:rsid w:val="00B76E08"/>
    <w:rsid w:val="00B77623"/>
    <w:rsid w:val="00B80000"/>
    <w:rsid w:val="00B860B7"/>
    <w:rsid w:val="00B86C7B"/>
    <w:rsid w:val="00B92B57"/>
    <w:rsid w:val="00BA0069"/>
    <w:rsid w:val="00BA1816"/>
    <w:rsid w:val="00BA7E62"/>
    <w:rsid w:val="00BB01D6"/>
    <w:rsid w:val="00BC0514"/>
    <w:rsid w:val="00BC35E9"/>
    <w:rsid w:val="00BC7AE8"/>
    <w:rsid w:val="00BD24CD"/>
    <w:rsid w:val="00BD28BB"/>
    <w:rsid w:val="00BE08A6"/>
    <w:rsid w:val="00BE0978"/>
    <w:rsid w:val="00BE20FF"/>
    <w:rsid w:val="00BE3477"/>
    <w:rsid w:val="00BE417E"/>
    <w:rsid w:val="00BE4392"/>
    <w:rsid w:val="00BE62A0"/>
    <w:rsid w:val="00BF77AD"/>
    <w:rsid w:val="00C02765"/>
    <w:rsid w:val="00C0315E"/>
    <w:rsid w:val="00C1442F"/>
    <w:rsid w:val="00C16C16"/>
    <w:rsid w:val="00C178B6"/>
    <w:rsid w:val="00C33816"/>
    <w:rsid w:val="00C371EC"/>
    <w:rsid w:val="00C46B50"/>
    <w:rsid w:val="00C4707D"/>
    <w:rsid w:val="00C51206"/>
    <w:rsid w:val="00C563E6"/>
    <w:rsid w:val="00C571BF"/>
    <w:rsid w:val="00C618E6"/>
    <w:rsid w:val="00C65239"/>
    <w:rsid w:val="00C75854"/>
    <w:rsid w:val="00C75ABC"/>
    <w:rsid w:val="00C77718"/>
    <w:rsid w:val="00C77D93"/>
    <w:rsid w:val="00C8460A"/>
    <w:rsid w:val="00C85E2B"/>
    <w:rsid w:val="00C91833"/>
    <w:rsid w:val="00C9456F"/>
    <w:rsid w:val="00CA5B91"/>
    <w:rsid w:val="00CC23F9"/>
    <w:rsid w:val="00CD474F"/>
    <w:rsid w:val="00CE274E"/>
    <w:rsid w:val="00CE391B"/>
    <w:rsid w:val="00CE3A4E"/>
    <w:rsid w:val="00CE405D"/>
    <w:rsid w:val="00CF7CE8"/>
    <w:rsid w:val="00D019AC"/>
    <w:rsid w:val="00D0556C"/>
    <w:rsid w:val="00D142CC"/>
    <w:rsid w:val="00D154D5"/>
    <w:rsid w:val="00D30C92"/>
    <w:rsid w:val="00D31ED7"/>
    <w:rsid w:val="00D33CE8"/>
    <w:rsid w:val="00D40FD6"/>
    <w:rsid w:val="00D427FF"/>
    <w:rsid w:val="00D43AB2"/>
    <w:rsid w:val="00D5345E"/>
    <w:rsid w:val="00D5349F"/>
    <w:rsid w:val="00D6051A"/>
    <w:rsid w:val="00D61E30"/>
    <w:rsid w:val="00D65A54"/>
    <w:rsid w:val="00D71543"/>
    <w:rsid w:val="00D76BFB"/>
    <w:rsid w:val="00D817F8"/>
    <w:rsid w:val="00D83F00"/>
    <w:rsid w:val="00D8742D"/>
    <w:rsid w:val="00D90C75"/>
    <w:rsid w:val="00D95E94"/>
    <w:rsid w:val="00DC0D11"/>
    <w:rsid w:val="00DC2DF8"/>
    <w:rsid w:val="00DC3407"/>
    <w:rsid w:val="00DD40B7"/>
    <w:rsid w:val="00DD43FA"/>
    <w:rsid w:val="00DD77D5"/>
    <w:rsid w:val="00DE2343"/>
    <w:rsid w:val="00DE63D3"/>
    <w:rsid w:val="00DF205A"/>
    <w:rsid w:val="00DF524D"/>
    <w:rsid w:val="00DF7EC8"/>
    <w:rsid w:val="00E023E3"/>
    <w:rsid w:val="00E13A66"/>
    <w:rsid w:val="00E161E6"/>
    <w:rsid w:val="00E21446"/>
    <w:rsid w:val="00E26C1D"/>
    <w:rsid w:val="00E32106"/>
    <w:rsid w:val="00E330D4"/>
    <w:rsid w:val="00E3404C"/>
    <w:rsid w:val="00E4080C"/>
    <w:rsid w:val="00E41E3E"/>
    <w:rsid w:val="00E5587A"/>
    <w:rsid w:val="00E57D96"/>
    <w:rsid w:val="00E608BB"/>
    <w:rsid w:val="00E63707"/>
    <w:rsid w:val="00E70372"/>
    <w:rsid w:val="00E7468E"/>
    <w:rsid w:val="00E819B3"/>
    <w:rsid w:val="00E82C75"/>
    <w:rsid w:val="00E84668"/>
    <w:rsid w:val="00E85839"/>
    <w:rsid w:val="00E919C9"/>
    <w:rsid w:val="00E974E0"/>
    <w:rsid w:val="00EA04C9"/>
    <w:rsid w:val="00EA283A"/>
    <w:rsid w:val="00EA40AE"/>
    <w:rsid w:val="00EA4305"/>
    <w:rsid w:val="00EB0D8C"/>
    <w:rsid w:val="00EB4E72"/>
    <w:rsid w:val="00EB6AC7"/>
    <w:rsid w:val="00EC00EF"/>
    <w:rsid w:val="00EC5BF2"/>
    <w:rsid w:val="00EC6461"/>
    <w:rsid w:val="00ED02A6"/>
    <w:rsid w:val="00ED2D89"/>
    <w:rsid w:val="00ED324F"/>
    <w:rsid w:val="00EF11FA"/>
    <w:rsid w:val="00EF464E"/>
    <w:rsid w:val="00EF504D"/>
    <w:rsid w:val="00EF50F1"/>
    <w:rsid w:val="00EF5E13"/>
    <w:rsid w:val="00F0139B"/>
    <w:rsid w:val="00F05CBE"/>
    <w:rsid w:val="00F066C5"/>
    <w:rsid w:val="00F06A49"/>
    <w:rsid w:val="00F10556"/>
    <w:rsid w:val="00F12AE6"/>
    <w:rsid w:val="00F15BD0"/>
    <w:rsid w:val="00F225F3"/>
    <w:rsid w:val="00F2645D"/>
    <w:rsid w:val="00F3103A"/>
    <w:rsid w:val="00F34768"/>
    <w:rsid w:val="00F36B87"/>
    <w:rsid w:val="00F40C2B"/>
    <w:rsid w:val="00F43658"/>
    <w:rsid w:val="00F45FFF"/>
    <w:rsid w:val="00F47C46"/>
    <w:rsid w:val="00F526DE"/>
    <w:rsid w:val="00F53F32"/>
    <w:rsid w:val="00F56AE6"/>
    <w:rsid w:val="00F57752"/>
    <w:rsid w:val="00F76FCA"/>
    <w:rsid w:val="00F8235D"/>
    <w:rsid w:val="00F8526E"/>
    <w:rsid w:val="00F86162"/>
    <w:rsid w:val="00F86F76"/>
    <w:rsid w:val="00FA5781"/>
    <w:rsid w:val="00FA5EE5"/>
    <w:rsid w:val="00FA7FAB"/>
    <w:rsid w:val="00FB2C57"/>
    <w:rsid w:val="00FB439B"/>
    <w:rsid w:val="00FB4EF6"/>
    <w:rsid w:val="00FB5768"/>
    <w:rsid w:val="00FB6F72"/>
    <w:rsid w:val="00FB7F28"/>
    <w:rsid w:val="00FC07CA"/>
    <w:rsid w:val="00FC7F8D"/>
    <w:rsid w:val="00FD110D"/>
    <w:rsid w:val="00FD41CF"/>
    <w:rsid w:val="00FD685D"/>
    <w:rsid w:val="00FE2CBC"/>
    <w:rsid w:val="00FE3DDF"/>
    <w:rsid w:val="00FE5477"/>
    <w:rsid w:val="00FF3137"/>
    <w:rsid w:val="00FF33D1"/>
    <w:rsid w:val="00FF56B9"/>
    <w:rsid w:val="00FF68A5"/>
    <w:rsid w:val="00FF6971"/>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 w:type="paragraph" w:customStyle="1" w:styleId="Default">
    <w:name w:val="Default"/>
    <w:rsid w:val="00C1442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61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7339">
      <w:bodyDiv w:val="1"/>
      <w:marLeft w:val="0"/>
      <w:marRight w:val="0"/>
      <w:marTop w:val="0"/>
      <w:marBottom w:val="0"/>
      <w:divBdr>
        <w:top w:val="none" w:sz="0" w:space="0" w:color="auto"/>
        <w:left w:val="none" w:sz="0" w:space="0" w:color="auto"/>
        <w:bottom w:val="none" w:sz="0" w:space="0" w:color="auto"/>
        <w:right w:val="none" w:sz="0" w:space="0" w:color="auto"/>
      </w:divBdr>
    </w:div>
    <w:div w:id="1066689789">
      <w:bodyDiv w:val="1"/>
      <w:marLeft w:val="0"/>
      <w:marRight w:val="0"/>
      <w:marTop w:val="0"/>
      <w:marBottom w:val="0"/>
      <w:divBdr>
        <w:top w:val="none" w:sz="0" w:space="0" w:color="auto"/>
        <w:left w:val="none" w:sz="0" w:space="0" w:color="auto"/>
        <w:bottom w:val="none" w:sz="0" w:space="0" w:color="auto"/>
        <w:right w:val="none" w:sz="0" w:space="0" w:color="auto"/>
      </w:divBdr>
    </w:div>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0DF3-004D-4299-9856-DFA7353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Bonsant, Kimberly</cp:lastModifiedBy>
  <cp:revision>2</cp:revision>
  <cp:lastPrinted>2019-08-29T14:34:00Z</cp:lastPrinted>
  <dcterms:created xsi:type="dcterms:W3CDTF">2022-09-14T02:29:00Z</dcterms:created>
  <dcterms:modified xsi:type="dcterms:W3CDTF">2022-09-14T02:29:00Z</dcterms:modified>
</cp:coreProperties>
</file>