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2C07" w14:textId="77777777" w:rsidR="003F45D2" w:rsidRPr="00364CCC" w:rsidRDefault="003F45D2" w:rsidP="00491264">
      <w:pPr>
        <w:pStyle w:val="Title"/>
        <w:jc w:val="left"/>
      </w:pPr>
    </w:p>
    <w:p w14:paraId="36B7DB0A" w14:textId="77777777" w:rsidR="00370545" w:rsidRPr="00491264" w:rsidRDefault="00370545" w:rsidP="004912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  <w:szCs w:val="32"/>
        </w:rPr>
      </w:pPr>
      <w:r w:rsidRPr="00491264">
        <w:rPr>
          <w:sz w:val="32"/>
          <w:szCs w:val="32"/>
        </w:rPr>
        <w:t xml:space="preserve">90-590 Maine Health Data Organization </w:t>
      </w:r>
    </w:p>
    <w:p w14:paraId="28811C89" w14:textId="3C7993A7" w:rsidR="00370545" w:rsidRPr="00491264" w:rsidRDefault="00A22FAA" w:rsidP="004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for </w:t>
      </w:r>
      <w:r w:rsidR="0072425F">
        <w:rPr>
          <w:b/>
          <w:sz w:val="24"/>
          <w:szCs w:val="24"/>
        </w:rPr>
        <w:t xml:space="preserve">Public Hearing </w:t>
      </w:r>
      <w:r w:rsidR="008533E3">
        <w:rPr>
          <w:b/>
          <w:sz w:val="24"/>
          <w:szCs w:val="24"/>
        </w:rPr>
        <w:t>November 21</w:t>
      </w:r>
      <w:r w:rsidR="00370545" w:rsidRPr="00491264">
        <w:rPr>
          <w:b/>
          <w:sz w:val="24"/>
          <w:szCs w:val="24"/>
        </w:rPr>
        <w:t>, 201</w:t>
      </w:r>
      <w:r w:rsidR="00DC2DF8">
        <w:rPr>
          <w:b/>
          <w:sz w:val="24"/>
          <w:szCs w:val="24"/>
        </w:rPr>
        <w:t>9</w:t>
      </w:r>
    </w:p>
    <w:p w14:paraId="7C3083A4" w14:textId="48CB046A" w:rsidR="00473801" w:rsidRPr="00491264" w:rsidRDefault="00370545">
      <w:pPr>
        <w:pStyle w:val="Title"/>
        <w:spacing w:before="240"/>
      </w:pPr>
      <w:r>
        <w:t>Proposed Rule Summary of Changes</w:t>
      </w:r>
      <w:r w:rsidR="00BE08A6">
        <w:t xml:space="preserve"> and Basis Statement</w:t>
      </w:r>
      <w:r w:rsidRPr="00364CCC">
        <w:br/>
        <w:t xml:space="preserve">Chapter </w:t>
      </w:r>
      <w:r w:rsidR="001E2525">
        <w:t>570</w:t>
      </w:r>
      <w:r w:rsidRPr="00364CCC">
        <w:t xml:space="preserve">:  </w:t>
      </w:r>
      <w:r w:rsidR="001E2525" w:rsidRPr="001E2525">
        <w:t>Uniform Reporting System for Prescription Drug Price Data Sets</w:t>
      </w:r>
    </w:p>
    <w:p w14:paraId="6C371C8B" w14:textId="11DF0601" w:rsidR="00473801" w:rsidRPr="00473801" w:rsidRDefault="00473801">
      <w:pPr>
        <w:pStyle w:val="Title"/>
        <w:spacing w:before="240"/>
      </w:pPr>
      <w:r w:rsidRPr="00491264">
        <w:rPr>
          <w:i/>
          <w:sz w:val="20"/>
          <w:szCs w:val="20"/>
        </w:rPr>
        <w:t>(</w:t>
      </w:r>
      <w:r w:rsidR="00645394">
        <w:rPr>
          <w:i/>
          <w:sz w:val="20"/>
          <w:szCs w:val="20"/>
        </w:rPr>
        <w:t>Routine</w:t>
      </w:r>
      <w:r w:rsidR="00F43658">
        <w:rPr>
          <w:i/>
          <w:sz w:val="20"/>
          <w:szCs w:val="20"/>
        </w:rPr>
        <w:t xml:space="preserve"> </w:t>
      </w:r>
      <w:r w:rsidR="00645394">
        <w:rPr>
          <w:i/>
          <w:sz w:val="20"/>
          <w:szCs w:val="20"/>
        </w:rPr>
        <w:t>Technica</w:t>
      </w:r>
      <w:r w:rsidR="00F43658">
        <w:rPr>
          <w:i/>
          <w:sz w:val="20"/>
          <w:szCs w:val="20"/>
        </w:rPr>
        <w:t>l</w:t>
      </w:r>
      <w:r w:rsidR="001E2525">
        <w:rPr>
          <w:i/>
          <w:sz w:val="20"/>
          <w:szCs w:val="20"/>
        </w:rPr>
        <w:t>/Major Substantive</w:t>
      </w:r>
      <w:r w:rsidRPr="00491264">
        <w:rPr>
          <w:i/>
          <w:sz w:val="20"/>
          <w:szCs w:val="20"/>
        </w:rPr>
        <w:t>)</w:t>
      </w:r>
    </w:p>
    <w:p w14:paraId="194EE4FA" w14:textId="3EEC6E7B" w:rsidR="00F43658" w:rsidRDefault="00F43658" w:rsidP="00F43658">
      <w:pPr>
        <w:pStyle w:val="DefaultText"/>
      </w:pPr>
      <w:r>
        <w:t>The Maine Health Data Organization</w:t>
      </w:r>
      <w:r w:rsidR="00733E42">
        <w:t xml:space="preserve"> (MHDO)</w:t>
      </w:r>
      <w:r>
        <w:t xml:space="preserve"> is authorized by statute to collect health care data</w:t>
      </w:r>
      <w:r w:rsidR="00900586">
        <w:t>, including prescription drug price data.</w:t>
      </w:r>
      <w:r>
        <w:t xml:space="preserve">  The purpose of this Chapter is to explain the provisions for fi</w:t>
      </w:r>
      <w:r w:rsidR="00900586">
        <w:t>ling prescription drug price</w:t>
      </w:r>
      <w:r>
        <w:t xml:space="preserve"> sets from </w:t>
      </w:r>
      <w:r w:rsidR="00900586">
        <w:t>prescription drug manufacturers, wholesale distributors and pharmacy benefits managers</w:t>
      </w:r>
      <w:r>
        <w:t>.</w:t>
      </w:r>
    </w:p>
    <w:p w14:paraId="02B314A1" w14:textId="33DCE025" w:rsidR="000355F3" w:rsidRPr="000355F3" w:rsidRDefault="000355F3" w:rsidP="00F43658">
      <w:pPr>
        <w:pStyle w:val="DefaultText"/>
      </w:pPr>
      <w:r>
        <w:t xml:space="preserve">The MHDO Board met on </w:t>
      </w:r>
      <w:r w:rsidR="00F43658">
        <w:t>May 23</w:t>
      </w:r>
      <w:r>
        <w:t>, 201</w:t>
      </w:r>
      <w:r w:rsidR="00F43658">
        <w:t>9</w:t>
      </w:r>
      <w:r>
        <w:t xml:space="preserve"> and authorized the MHDO to initiate rulemaking to Chapter </w:t>
      </w:r>
      <w:r w:rsidR="001E2525">
        <w:t>570</w:t>
      </w:r>
      <w:r w:rsidR="006B213E">
        <w:t xml:space="preserve"> (22 MRSA </w:t>
      </w:r>
      <w:r w:rsidR="006B213E" w:rsidRPr="006B213E">
        <w:rPr>
          <w:rFonts w:ascii="Calibri" w:hAnsi="Calibri" w:cs="Arial"/>
          <w:color w:val="000000"/>
          <w:szCs w:val="24"/>
        </w:rPr>
        <w:t>§</w:t>
      </w:r>
      <w:r w:rsidR="006B213E">
        <w:rPr>
          <w:rFonts w:ascii="Calibri" w:hAnsi="Calibri" w:cs="Arial"/>
          <w:color w:val="000000"/>
          <w:szCs w:val="24"/>
        </w:rPr>
        <w:t>8704, sub-</w:t>
      </w:r>
      <w:r w:rsidR="006B213E" w:rsidRPr="006B213E">
        <w:rPr>
          <w:rFonts w:ascii="Calibri" w:hAnsi="Calibri" w:cs="Arial"/>
          <w:color w:val="000000"/>
          <w:szCs w:val="24"/>
        </w:rPr>
        <w:t>§</w:t>
      </w:r>
      <w:r w:rsidR="006B213E">
        <w:rPr>
          <w:rFonts w:ascii="Calibri" w:hAnsi="Calibri" w:cs="Arial"/>
          <w:color w:val="000000"/>
          <w:szCs w:val="24"/>
        </w:rPr>
        <w:t xml:space="preserve">1; </w:t>
      </w:r>
      <w:r w:rsidR="006B213E" w:rsidRPr="006B213E">
        <w:rPr>
          <w:rFonts w:ascii="Calibri" w:hAnsi="Calibri" w:cs="Arial"/>
          <w:color w:val="000000"/>
          <w:szCs w:val="24"/>
        </w:rPr>
        <w:t>§</w:t>
      </w:r>
      <w:r w:rsidR="006B213E">
        <w:rPr>
          <w:rFonts w:ascii="Calibri" w:hAnsi="Calibri" w:cs="Arial"/>
          <w:color w:val="000000"/>
          <w:szCs w:val="24"/>
        </w:rPr>
        <w:t xml:space="preserve">8705-A; </w:t>
      </w:r>
      <w:r w:rsidR="006B213E" w:rsidRPr="006B213E">
        <w:rPr>
          <w:rFonts w:ascii="Calibri" w:hAnsi="Calibri" w:cs="Arial"/>
          <w:color w:val="000000"/>
          <w:szCs w:val="24"/>
        </w:rPr>
        <w:t>§</w:t>
      </w:r>
      <w:r w:rsidR="006B213E">
        <w:rPr>
          <w:rFonts w:ascii="Calibri" w:hAnsi="Calibri" w:cs="Arial"/>
          <w:color w:val="000000"/>
          <w:szCs w:val="24"/>
        </w:rPr>
        <w:t>8737)</w:t>
      </w:r>
      <w:r>
        <w:t>.</w:t>
      </w:r>
      <w:r w:rsidR="0072425F">
        <w:t xml:space="preserve"> This is a routine technical rule only until April 1, 2020 then it is a major substantive rule (PL 2019 c470, Section 10).</w:t>
      </w:r>
    </w:p>
    <w:p w14:paraId="2B2B14BE" w14:textId="16192FD3" w:rsidR="00BE62A0" w:rsidRDefault="00FF3137" w:rsidP="00BE62A0">
      <w:pPr>
        <w:pStyle w:val="DefaultText"/>
      </w:pPr>
      <w:r w:rsidRPr="00311EEE">
        <w:t>T</w:t>
      </w:r>
      <w:r w:rsidR="00E023E3" w:rsidRPr="00311EEE">
        <w:t xml:space="preserve">he following </w:t>
      </w:r>
      <w:r w:rsidR="007F640F" w:rsidRPr="00311EEE">
        <w:t>represent the</w:t>
      </w:r>
      <w:r w:rsidR="00622863">
        <w:t xml:space="preserve"> contents and</w:t>
      </w:r>
      <w:r w:rsidR="007F640F" w:rsidRPr="00311EEE">
        <w:t xml:space="preserve"> </w:t>
      </w:r>
      <w:r w:rsidR="00622863">
        <w:t xml:space="preserve">the </w:t>
      </w:r>
      <w:r w:rsidR="007F640F" w:rsidRPr="00311EEE">
        <w:t>rationale</w:t>
      </w:r>
      <w:r w:rsidR="002B0C91" w:rsidRPr="00311EEE">
        <w:t xml:space="preserve"> for th</w:t>
      </w:r>
      <w:r w:rsidR="00622863">
        <w:t>is new rule</w:t>
      </w:r>
      <w:r w:rsidR="00BE62A0">
        <w:t xml:space="preserve">: </w:t>
      </w:r>
    </w:p>
    <w:p w14:paraId="2EC795F8" w14:textId="77777777" w:rsidR="00BE62A0" w:rsidRPr="00BE62A0" w:rsidRDefault="00BE62A0" w:rsidP="00BE62A0">
      <w:pPr>
        <w:pStyle w:val="ListParagraph"/>
        <w:numPr>
          <w:ilvl w:val="0"/>
          <w:numId w:val="0"/>
        </w:numPr>
        <w:tabs>
          <w:tab w:val="clear" w:pos="900"/>
        </w:tabs>
        <w:spacing w:before="0"/>
        <w:ind w:left="720"/>
        <w:contextualSpacing w:val="0"/>
        <w:rPr>
          <w:rFonts w:ascii="Calibri" w:hAnsi="Calibri" w:cs="Arial"/>
          <w:b/>
          <w:color w:val="000000"/>
          <w:sz w:val="24"/>
          <w:szCs w:val="24"/>
        </w:rPr>
      </w:pPr>
    </w:p>
    <w:p w14:paraId="0D0171AC" w14:textId="4A7FCCB7" w:rsidR="00E23C93" w:rsidRPr="008A5ADF" w:rsidRDefault="0072425F" w:rsidP="008A5ADF">
      <w:pPr>
        <w:pStyle w:val="ListParagraph"/>
        <w:numPr>
          <w:ilvl w:val="0"/>
          <w:numId w:val="21"/>
        </w:numPr>
        <w:spacing w:before="0"/>
        <w:rPr>
          <w:rFonts w:ascii="Calibri" w:hAnsi="Calibri" w:cs="Arial"/>
          <w:b/>
          <w:color w:val="000000"/>
          <w:sz w:val="24"/>
          <w:szCs w:val="24"/>
        </w:rPr>
      </w:pPr>
      <w:r w:rsidRPr="008A5ADF">
        <w:rPr>
          <w:rFonts w:ascii="Calibri" w:hAnsi="Calibri" w:cs="Arial"/>
          <w:b/>
          <w:bCs/>
          <w:color w:val="000000"/>
          <w:sz w:val="24"/>
          <w:szCs w:val="24"/>
        </w:rPr>
        <w:t xml:space="preserve">Definitions </w:t>
      </w:r>
      <w:r w:rsidR="002C6FFA" w:rsidRPr="008A5ADF">
        <w:rPr>
          <w:rFonts w:ascii="Calibri" w:hAnsi="Calibri" w:cs="Arial"/>
          <w:color w:val="000000"/>
          <w:sz w:val="24"/>
          <w:szCs w:val="24"/>
        </w:rPr>
        <w:t>(22 M</w:t>
      </w:r>
      <w:r w:rsidR="00BE112C" w:rsidRPr="008A5ADF">
        <w:rPr>
          <w:rFonts w:ascii="Calibri" w:hAnsi="Calibri" w:cs="Arial"/>
          <w:color w:val="000000"/>
          <w:sz w:val="24"/>
          <w:szCs w:val="24"/>
        </w:rPr>
        <w:t>.R.S</w:t>
      </w:r>
      <w:r w:rsidR="002C6FFA" w:rsidRPr="008A5ADF">
        <w:rPr>
          <w:rFonts w:ascii="Calibri" w:hAnsi="Calibri" w:cs="Arial"/>
          <w:color w:val="000000"/>
          <w:sz w:val="24"/>
          <w:szCs w:val="24"/>
        </w:rPr>
        <w:t xml:space="preserve">, c. 1683, sub-c. 1 </w:t>
      </w:r>
      <w:r w:rsidR="006B213E" w:rsidRPr="008A5ADF">
        <w:rPr>
          <w:rFonts w:ascii="Calibri" w:hAnsi="Calibri" w:cs="Arial"/>
          <w:color w:val="000000"/>
          <w:sz w:val="24"/>
          <w:szCs w:val="24"/>
        </w:rPr>
        <w:t>§ 8731)</w:t>
      </w:r>
    </w:p>
    <w:p w14:paraId="411EB873" w14:textId="4351AC70" w:rsidR="0072425F" w:rsidRDefault="0072425F" w:rsidP="0072425F">
      <w:pPr>
        <w:spacing w:before="0"/>
        <w:rPr>
          <w:rFonts w:ascii="Calibri" w:hAnsi="Calibri" w:cs="Arial"/>
          <w:b/>
          <w:color w:val="000000"/>
          <w:sz w:val="24"/>
          <w:szCs w:val="24"/>
        </w:rPr>
      </w:pPr>
    </w:p>
    <w:p w14:paraId="2F510CEB" w14:textId="7140F5FB" w:rsidR="0072425F" w:rsidRPr="0072425F" w:rsidRDefault="0072425F" w:rsidP="0072425F">
      <w:pPr>
        <w:pStyle w:val="ListParagraph"/>
        <w:numPr>
          <w:ilvl w:val="0"/>
          <w:numId w:val="21"/>
        </w:numPr>
        <w:spacing w:before="0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Registration and Submission Requirements</w:t>
      </w:r>
      <w:r w:rsidR="00D65D7F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(22 MRSA, c. 1683, sub-c. 1 </w:t>
      </w:r>
      <w:r w:rsidR="00D65D7F" w:rsidRPr="006B213E">
        <w:rPr>
          <w:rFonts w:ascii="Calibri" w:hAnsi="Calibri" w:cs="Arial"/>
          <w:color w:val="000000"/>
          <w:sz w:val="24"/>
          <w:szCs w:val="24"/>
        </w:rPr>
        <w:t>§ 873</w:t>
      </w:r>
      <w:r w:rsidR="00D65D7F">
        <w:rPr>
          <w:rFonts w:ascii="Calibri" w:hAnsi="Calibri" w:cs="Arial"/>
          <w:color w:val="000000"/>
          <w:sz w:val="24"/>
          <w:szCs w:val="24"/>
        </w:rPr>
        <w:t>2)</w:t>
      </w:r>
    </w:p>
    <w:p w14:paraId="2AF2963B" w14:textId="48BDBAAA" w:rsidR="008A5ADF" w:rsidRPr="00D65D7F" w:rsidRDefault="00E65019" w:rsidP="00D65D7F">
      <w:pPr>
        <w:spacing w:before="0"/>
        <w:ind w:left="360"/>
        <w:rPr>
          <w:rFonts w:ascii="Calibri" w:hAnsi="Calibri" w:cs="Arial"/>
          <w:color w:val="000000"/>
          <w:sz w:val="24"/>
          <w:szCs w:val="24"/>
        </w:rPr>
      </w:pPr>
      <w:r w:rsidRPr="00D65D7F">
        <w:rPr>
          <w:rFonts w:ascii="Calibri" w:hAnsi="Calibri" w:cs="Arial"/>
          <w:color w:val="000000"/>
          <w:sz w:val="24"/>
          <w:szCs w:val="24"/>
        </w:rPr>
        <w:t>This section includes the requirements</w:t>
      </w:r>
      <w:r w:rsidR="003C3934" w:rsidRP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D65D7F">
        <w:rPr>
          <w:rFonts w:ascii="Calibri" w:hAnsi="Calibri" w:cs="Arial"/>
          <w:color w:val="000000"/>
          <w:sz w:val="24"/>
          <w:szCs w:val="24"/>
        </w:rPr>
        <w:t>for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F6286" w:rsidRPr="00D65D7F">
        <w:rPr>
          <w:rFonts w:ascii="Calibri" w:hAnsi="Calibri" w:cs="Arial"/>
          <w:color w:val="000000"/>
          <w:sz w:val="24"/>
          <w:szCs w:val="24"/>
        </w:rPr>
        <w:t xml:space="preserve">the </w:t>
      </w:r>
      <w:r w:rsidRPr="00D65D7F">
        <w:rPr>
          <w:rFonts w:ascii="Calibri" w:hAnsi="Calibri" w:cs="Arial"/>
          <w:color w:val="000000"/>
          <w:sz w:val="24"/>
          <w:szCs w:val="24"/>
        </w:rPr>
        <w:t>registration</w:t>
      </w:r>
      <w:r w:rsidR="00BF6286" w:rsidRPr="00D65D7F">
        <w:rPr>
          <w:rFonts w:ascii="Calibri" w:hAnsi="Calibri" w:cs="Arial"/>
          <w:color w:val="000000"/>
          <w:sz w:val="24"/>
          <w:szCs w:val="24"/>
        </w:rPr>
        <w:t xml:space="preserve"> of reporting entities</w:t>
      </w:r>
      <w:r w:rsidRPr="00D65D7F">
        <w:rPr>
          <w:rFonts w:ascii="Calibri" w:hAnsi="Calibri" w:cs="Arial"/>
          <w:color w:val="000000"/>
          <w:sz w:val="24"/>
          <w:szCs w:val="24"/>
        </w:rPr>
        <w:t>;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D65D7F">
        <w:rPr>
          <w:rFonts w:ascii="Calibri" w:hAnsi="Calibri" w:cs="Arial"/>
          <w:color w:val="000000"/>
          <w:sz w:val="24"/>
          <w:szCs w:val="24"/>
        </w:rPr>
        <w:t xml:space="preserve">conditions </w:t>
      </w:r>
      <w:r w:rsidR="00BF6286" w:rsidRPr="00D65D7F">
        <w:rPr>
          <w:rFonts w:ascii="Calibri" w:hAnsi="Calibri" w:cs="Arial"/>
          <w:color w:val="000000"/>
          <w:sz w:val="24"/>
          <w:szCs w:val="24"/>
        </w:rPr>
        <w:t>under which manufacturers must notify the MHDO</w:t>
      </w:r>
      <w:r w:rsidRPr="00D65D7F">
        <w:rPr>
          <w:rFonts w:ascii="Calibri" w:hAnsi="Calibri" w:cs="Arial"/>
          <w:color w:val="000000"/>
          <w:sz w:val="24"/>
          <w:szCs w:val="24"/>
        </w:rPr>
        <w:t>;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D65D7F">
        <w:rPr>
          <w:rFonts w:ascii="Calibri" w:hAnsi="Calibri" w:cs="Arial"/>
          <w:color w:val="000000"/>
          <w:sz w:val="24"/>
          <w:szCs w:val="24"/>
        </w:rPr>
        <w:t xml:space="preserve">conditions under which the MDHO would </w:t>
      </w:r>
      <w:r w:rsidR="00BF6286" w:rsidRPr="00D65D7F">
        <w:rPr>
          <w:rFonts w:ascii="Calibri" w:hAnsi="Calibri" w:cs="Arial"/>
          <w:color w:val="000000"/>
          <w:sz w:val="24"/>
          <w:szCs w:val="24"/>
        </w:rPr>
        <w:t>require pricing component data from a reporting entity;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65D7F" w:rsidRPr="00D65D7F">
        <w:rPr>
          <w:rFonts w:ascii="Calibri" w:hAnsi="Calibri" w:cs="Arial"/>
          <w:color w:val="000000"/>
          <w:sz w:val="24"/>
          <w:szCs w:val="24"/>
        </w:rPr>
        <w:t>the data elements contained in the various reports (data specifications)</w:t>
      </w:r>
      <w:r w:rsidR="00D65D7F">
        <w:rPr>
          <w:rFonts w:ascii="Calibri" w:hAnsi="Calibri" w:cs="Arial"/>
          <w:color w:val="000000"/>
          <w:sz w:val="24"/>
          <w:szCs w:val="24"/>
        </w:rPr>
        <w:t>;</w:t>
      </w:r>
      <w:r w:rsidR="00E33955">
        <w:rPr>
          <w:rFonts w:ascii="Calibri" w:hAnsi="Calibri" w:cs="Arial"/>
          <w:color w:val="000000"/>
          <w:sz w:val="24"/>
          <w:szCs w:val="24"/>
        </w:rPr>
        <w:t xml:space="preserve"> proper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65D7F" w:rsidRPr="00D65D7F">
        <w:rPr>
          <w:rFonts w:ascii="Calibri" w:hAnsi="Calibri" w:cs="Arial"/>
          <w:color w:val="000000"/>
          <w:sz w:val="24"/>
          <w:szCs w:val="24"/>
        </w:rPr>
        <w:t xml:space="preserve">coding, formatting and </w:t>
      </w:r>
      <w:r w:rsidR="003C3934" w:rsidRPr="00D65D7F">
        <w:rPr>
          <w:rFonts w:ascii="Calibri" w:hAnsi="Calibri" w:cs="Arial"/>
          <w:color w:val="000000"/>
          <w:sz w:val="24"/>
          <w:szCs w:val="24"/>
        </w:rPr>
        <w:t>submi</w:t>
      </w:r>
      <w:r w:rsidR="00D65D7F">
        <w:rPr>
          <w:rFonts w:ascii="Calibri" w:hAnsi="Calibri" w:cs="Arial"/>
          <w:color w:val="000000"/>
          <w:sz w:val="24"/>
          <w:szCs w:val="24"/>
        </w:rPr>
        <w:t>ssion of</w:t>
      </w:r>
      <w:r w:rsidR="003C3934" w:rsidRPr="00D65D7F">
        <w:rPr>
          <w:rFonts w:ascii="Calibri" w:hAnsi="Calibri" w:cs="Arial"/>
          <w:color w:val="000000"/>
          <w:sz w:val="24"/>
          <w:szCs w:val="24"/>
        </w:rPr>
        <w:t xml:space="preserve"> data;</w:t>
      </w:r>
      <w:r w:rsidR="00D65D7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33955">
        <w:rPr>
          <w:rFonts w:ascii="Calibri" w:hAnsi="Calibri" w:cs="Arial"/>
          <w:color w:val="000000"/>
          <w:sz w:val="24"/>
          <w:szCs w:val="24"/>
        </w:rPr>
        <w:t xml:space="preserve">and </w:t>
      </w:r>
      <w:r w:rsidR="00D65D7F" w:rsidRPr="00D65D7F">
        <w:rPr>
          <w:rFonts w:ascii="Calibri" w:hAnsi="Calibri" w:cs="Arial"/>
          <w:color w:val="000000"/>
          <w:sz w:val="24"/>
          <w:szCs w:val="24"/>
        </w:rPr>
        <w:t xml:space="preserve">submission deadlines and </w:t>
      </w:r>
      <w:r w:rsidR="004971F8">
        <w:rPr>
          <w:rFonts w:ascii="Calibri" w:hAnsi="Calibri" w:cs="Arial"/>
          <w:color w:val="000000"/>
          <w:sz w:val="24"/>
          <w:szCs w:val="24"/>
        </w:rPr>
        <w:t>resubmission of</w:t>
      </w:r>
      <w:r w:rsidR="00D65D7F" w:rsidRPr="00D65D7F">
        <w:rPr>
          <w:rFonts w:ascii="Calibri" w:hAnsi="Calibri" w:cs="Arial"/>
          <w:color w:val="000000"/>
          <w:sz w:val="24"/>
          <w:szCs w:val="24"/>
        </w:rPr>
        <w:t xml:space="preserve"> rejected files.</w:t>
      </w:r>
    </w:p>
    <w:p w14:paraId="52BC18F7" w14:textId="5F1F317C" w:rsidR="008A5ADF" w:rsidRDefault="00110F8E" w:rsidP="008A5ADF">
      <w:pPr>
        <w:pStyle w:val="ListParagraph"/>
        <w:numPr>
          <w:ilvl w:val="0"/>
          <w:numId w:val="21"/>
        </w:numPr>
        <w:rPr>
          <w:rFonts w:ascii="Calibri" w:hAnsi="Calibri" w:cs="Arial"/>
          <w:b/>
          <w:color w:val="000000"/>
          <w:sz w:val="24"/>
          <w:szCs w:val="24"/>
        </w:rPr>
      </w:pPr>
      <w:r w:rsidRPr="008A5ADF">
        <w:rPr>
          <w:rFonts w:ascii="Calibri" w:hAnsi="Calibri" w:cs="Arial"/>
          <w:b/>
          <w:color w:val="000000"/>
          <w:sz w:val="24"/>
          <w:szCs w:val="24"/>
        </w:rPr>
        <w:t>Evaluation; Notification; Response</w:t>
      </w:r>
    </w:p>
    <w:p w14:paraId="642CB0D8" w14:textId="2C552625" w:rsidR="008A5ADF" w:rsidRPr="00E33955" w:rsidRDefault="004971F8" w:rsidP="00E33955">
      <w:pPr>
        <w:spacing w:before="0"/>
        <w:ind w:left="360"/>
        <w:rPr>
          <w:rFonts w:ascii="Calibri" w:hAnsi="Calibri" w:cs="Arial"/>
          <w:color w:val="000000"/>
          <w:sz w:val="24"/>
          <w:szCs w:val="24"/>
        </w:rPr>
      </w:pPr>
      <w:r w:rsidRPr="00085A2B">
        <w:rPr>
          <w:rFonts w:ascii="Calibri" w:hAnsi="Calibri" w:cs="Arial"/>
          <w:color w:val="000000"/>
          <w:sz w:val="24"/>
          <w:szCs w:val="24"/>
        </w:rPr>
        <w:t>This section describes the evaluation</w:t>
      </w:r>
      <w:r w:rsidR="00085A2B" w:rsidRPr="00085A2B">
        <w:rPr>
          <w:rFonts w:ascii="Calibri" w:hAnsi="Calibri" w:cs="Arial"/>
          <w:color w:val="000000"/>
          <w:sz w:val="24"/>
          <w:szCs w:val="24"/>
        </w:rPr>
        <w:t xml:space="preserve"> or validation of data</w:t>
      </w:r>
      <w:r w:rsidRPr="00085A2B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E33955">
        <w:rPr>
          <w:rFonts w:ascii="Calibri" w:hAnsi="Calibri" w:cs="Arial"/>
          <w:color w:val="000000"/>
          <w:sz w:val="24"/>
          <w:szCs w:val="24"/>
        </w:rPr>
        <w:t xml:space="preserve">failure </w:t>
      </w:r>
      <w:r w:rsidRPr="00085A2B">
        <w:rPr>
          <w:rFonts w:ascii="Calibri" w:hAnsi="Calibri" w:cs="Arial"/>
          <w:color w:val="000000"/>
          <w:sz w:val="24"/>
          <w:szCs w:val="24"/>
        </w:rPr>
        <w:t xml:space="preserve">notification </w:t>
      </w:r>
      <w:r w:rsidR="00E33955">
        <w:rPr>
          <w:rFonts w:ascii="Calibri" w:hAnsi="Calibri" w:cs="Arial"/>
          <w:color w:val="000000"/>
          <w:sz w:val="24"/>
          <w:szCs w:val="24"/>
        </w:rPr>
        <w:t>to</w:t>
      </w:r>
      <w:r w:rsidRPr="00085A2B">
        <w:rPr>
          <w:rFonts w:ascii="Calibri" w:hAnsi="Calibri" w:cs="Arial"/>
          <w:color w:val="000000"/>
          <w:sz w:val="24"/>
          <w:szCs w:val="24"/>
        </w:rPr>
        <w:t xml:space="preserve"> the submitting entity</w:t>
      </w:r>
      <w:r w:rsidR="00085A2B" w:rsidRPr="00085A2B">
        <w:rPr>
          <w:rFonts w:ascii="Calibri" w:hAnsi="Calibri" w:cs="Arial"/>
          <w:color w:val="000000"/>
          <w:sz w:val="24"/>
          <w:szCs w:val="24"/>
        </w:rPr>
        <w:t>,</w:t>
      </w:r>
      <w:r w:rsidRPr="00085A2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33955">
        <w:rPr>
          <w:rFonts w:ascii="Calibri" w:hAnsi="Calibri" w:cs="Arial"/>
          <w:color w:val="000000"/>
          <w:sz w:val="24"/>
          <w:szCs w:val="24"/>
        </w:rPr>
        <w:t xml:space="preserve">and </w:t>
      </w:r>
      <w:r w:rsidR="00085A2B" w:rsidRPr="00085A2B">
        <w:rPr>
          <w:rFonts w:ascii="Calibri" w:hAnsi="Calibri" w:cs="Arial"/>
          <w:color w:val="000000"/>
          <w:sz w:val="24"/>
          <w:szCs w:val="24"/>
        </w:rPr>
        <w:t>the time frame for correction and resubmission of data.</w:t>
      </w:r>
    </w:p>
    <w:p w14:paraId="594FB909" w14:textId="765A94A4" w:rsidR="008A5ADF" w:rsidRPr="008A5ADF" w:rsidRDefault="00110F8E" w:rsidP="008A5ADF">
      <w:pPr>
        <w:pStyle w:val="ListParagraph"/>
        <w:numPr>
          <w:ilvl w:val="0"/>
          <w:numId w:val="21"/>
        </w:numPr>
        <w:rPr>
          <w:rFonts w:ascii="Calibri" w:hAnsi="Calibri" w:cs="Arial"/>
          <w:b/>
          <w:color w:val="000000"/>
          <w:sz w:val="24"/>
          <w:szCs w:val="24"/>
        </w:rPr>
      </w:pPr>
      <w:r w:rsidRPr="008A5ADF">
        <w:rPr>
          <w:rFonts w:ascii="Calibri" w:hAnsi="Calibri" w:cs="Arial"/>
          <w:b/>
          <w:color w:val="000000"/>
          <w:sz w:val="24"/>
          <w:szCs w:val="24"/>
        </w:rPr>
        <w:t>Compliance</w:t>
      </w:r>
      <w:r w:rsidR="00E33955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E33955" w:rsidRPr="00E33955">
        <w:rPr>
          <w:rFonts w:ascii="Calibri" w:hAnsi="Calibri" w:cs="Arial"/>
          <w:color w:val="000000"/>
          <w:sz w:val="24"/>
          <w:szCs w:val="24"/>
        </w:rPr>
        <w:t>require</w:t>
      </w:r>
      <w:bookmarkStart w:id="0" w:name="_GoBack"/>
      <w:bookmarkEnd w:id="0"/>
      <w:r w:rsidR="00E33955" w:rsidRPr="00E33955">
        <w:rPr>
          <w:rFonts w:ascii="Calibri" w:hAnsi="Calibri" w:cs="Arial"/>
          <w:color w:val="000000"/>
          <w:sz w:val="24"/>
          <w:szCs w:val="24"/>
        </w:rPr>
        <w:t>ments</w:t>
      </w:r>
      <w:r w:rsidRPr="008A5ADF">
        <w:rPr>
          <w:rFonts w:ascii="Calibri" w:hAnsi="Calibri" w:cs="Arial"/>
          <w:b/>
          <w:color w:val="000000"/>
          <w:sz w:val="24"/>
          <w:szCs w:val="24"/>
        </w:rPr>
        <w:t>,</w:t>
      </w:r>
      <w:r w:rsidRPr="008A5ADF">
        <w:rPr>
          <w:rFonts w:ascii="Calibri" w:hAnsi="Calibri" w:cs="Arial"/>
          <w:color w:val="000000"/>
          <w:sz w:val="24"/>
          <w:szCs w:val="24"/>
        </w:rPr>
        <w:t xml:space="preserve"> including certificate of accuracy, audit, corrective action plan and enforcement. (22 M.R.S, c. 1683, sub-c. 1 § 8735)</w:t>
      </w:r>
    </w:p>
    <w:p w14:paraId="6AC43614" w14:textId="77777777" w:rsidR="008A5ADF" w:rsidRPr="008A5ADF" w:rsidRDefault="008A5ADF" w:rsidP="008A5ADF">
      <w:pPr>
        <w:pStyle w:val="ListParagraph"/>
        <w:numPr>
          <w:ilvl w:val="0"/>
          <w:numId w:val="0"/>
        </w:numPr>
        <w:ind w:left="720"/>
        <w:rPr>
          <w:rFonts w:ascii="Calibri" w:hAnsi="Calibri" w:cs="Arial"/>
          <w:b/>
          <w:color w:val="000000"/>
          <w:sz w:val="24"/>
          <w:szCs w:val="24"/>
        </w:rPr>
      </w:pPr>
    </w:p>
    <w:p w14:paraId="2C1A00C5" w14:textId="138F2640" w:rsidR="008A5ADF" w:rsidRDefault="00110F8E" w:rsidP="008A5ADF">
      <w:pPr>
        <w:pStyle w:val="ListParagraph"/>
        <w:numPr>
          <w:ilvl w:val="0"/>
          <w:numId w:val="21"/>
        </w:numPr>
        <w:rPr>
          <w:rFonts w:ascii="Calibri" w:hAnsi="Calibri" w:cs="Arial"/>
          <w:b/>
          <w:color w:val="000000"/>
          <w:sz w:val="24"/>
          <w:szCs w:val="24"/>
        </w:rPr>
      </w:pPr>
      <w:r w:rsidRPr="008A5ADF">
        <w:rPr>
          <w:rFonts w:ascii="Calibri" w:hAnsi="Calibri" w:cs="Arial"/>
          <w:b/>
          <w:color w:val="000000"/>
          <w:sz w:val="24"/>
          <w:szCs w:val="24"/>
        </w:rPr>
        <w:t xml:space="preserve">Extensions </w:t>
      </w:r>
      <w:r w:rsidRPr="008A5ADF">
        <w:rPr>
          <w:rFonts w:ascii="Calibri" w:hAnsi="Calibri" w:cs="Arial"/>
          <w:color w:val="000000"/>
          <w:sz w:val="24"/>
          <w:szCs w:val="24"/>
        </w:rPr>
        <w:t xml:space="preserve">to </w:t>
      </w:r>
      <w:r w:rsidR="00085A2B">
        <w:rPr>
          <w:rFonts w:ascii="Calibri" w:hAnsi="Calibri" w:cs="Arial"/>
          <w:color w:val="000000"/>
          <w:sz w:val="24"/>
          <w:szCs w:val="24"/>
        </w:rPr>
        <w:t>deadlines</w:t>
      </w:r>
      <w:r w:rsidRPr="008A5ADF">
        <w:rPr>
          <w:rFonts w:ascii="Calibri" w:hAnsi="Calibri" w:cs="Arial"/>
          <w:color w:val="000000"/>
          <w:sz w:val="24"/>
          <w:szCs w:val="24"/>
        </w:rPr>
        <w:t xml:space="preserve"> for </w:t>
      </w:r>
      <w:r w:rsidR="00085A2B">
        <w:rPr>
          <w:rFonts w:ascii="Calibri" w:hAnsi="Calibri" w:cs="Arial"/>
          <w:color w:val="000000"/>
          <w:sz w:val="24"/>
          <w:szCs w:val="24"/>
        </w:rPr>
        <w:t>d</w:t>
      </w:r>
      <w:r w:rsidRPr="008A5ADF">
        <w:rPr>
          <w:rFonts w:ascii="Calibri" w:hAnsi="Calibri" w:cs="Arial"/>
          <w:color w:val="000000"/>
          <w:sz w:val="24"/>
          <w:szCs w:val="24"/>
        </w:rPr>
        <w:t xml:space="preserve">ata </w:t>
      </w:r>
      <w:r w:rsidR="00085A2B">
        <w:rPr>
          <w:rFonts w:ascii="Calibri" w:hAnsi="Calibri" w:cs="Arial"/>
          <w:color w:val="000000"/>
          <w:sz w:val="24"/>
          <w:szCs w:val="24"/>
        </w:rPr>
        <w:t>s</w:t>
      </w:r>
      <w:r w:rsidRPr="008A5ADF">
        <w:rPr>
          <w:rFonts w:ascii="Calibri" w:hAnsi="Calibri" w:cs="Arial"/>
          <w:color w:val="000000"/>
          <w:sz w:val="24"/>
          <w:szCs w:val="24"/>
        </w:rPr>
        <w:t xml:space="preserve">ubmission </w:t>
      </w:r>
      <w:r w:rsidR="00085A2B">
        <w:rPr>
          <w:rFonts w:ascii="Calibri" w:hAnsi="Calibri" w:cs="Arial"/>
          <w:color w:val="000000"/>
          <w:sz w:val="24"/>
          <w:szCs w:val="24"/>
        </w:rPr>
        <w:t>r</w:t>
      </w:r>
      <w:r w:rsidRPr="008A5ADF">
        <w:rPr>
          <w:rFonts w:ascii="Calibri" w:hAnsi="Calibri" w:cs="Arial"/>
          <w:color w:val="000000"/>
          <w:sz w:val="24"/>
          <w:szCs w:val="24"/>
        </w:rPr>
        <w:t>equirements</w:t>
      </w:r>
      <w:r w:rsidR="00085A2B">
        <w:rPr>
          <w:rFonts w:ascii="Calibri" w:hAnsi="Calibri" w:cs="Arial"/>
          <w:color w:val="000000"/>
          <w:sz w:val="24"/>
          <w:szCs w:val="24"/>
        </w:rPr>
        <w:t>.</w:t>
      </w:r>
    </w:p>
    <w:p w14:paraId="7C9C3D76" w14:textId="77777777" w:rsidR="008A5ADF" w:rsidRPr="008A5ADF" w:rsidRDefault="008A5ADF" w:rsidP="008A5ADF">
      <w:pPr>
        <w:pStyle w:val="ListParagraph"/>
        <w:numPr>
          <w:ilvl w:val="0"/>
          <w:numId w:val="0"/>
        </w:numPr>
        <w:ind w:left="720"/>
        <w:rPr>
          <w:rFonts w:ascii="Calibri" w:hAnsi="Calibri" w:cs="Arial"/>
          <w:b/>
          <w:color w:val="000000"/>
          <w:sz w:val="24"/>
          <w:szCs w:val="24"/>
        </w:rPr>
      </w:pPr>
    </w:p>
    <w:p w14:paraId="49998140" w14:textId="42668635" w:rsidR="00085A2B" w:rsidRDefault="00110F8E" w:rsidP="00085A2B">
      <w:pPr>
        <w:pStyle w:val="ListParagraph"/>
        <w:numPr>
          <w:ilvl w:val="0"/>
          <w:numId w:val="21"/>
        </w:numPr>
        <w:rPr>
          <w:rFonts w:ascii="Calibri" w:hAnsi="Calibri" w:cs="Arial"/>
          <w:b/>
          <w:color w:val="000000"/>
          <w:sz w:val="24"/>
          <w:szCs w:val="24"/>
        </w:rPr>
      </w:pPr>
      <w:r w:rsidRPr="008A5ADF">
        <w:rPr>
          <w:rFonts w:ascii="Calibri" w:hAnsi="Calibri" w:cs="Arial"/>
          <w:b/>
          <w:color w:val="000000"/>
          <w:sz w:val="24"/>
          <w:szCs w:val="24"/>
        </w:rPr>
        <w:t>Confidentiality</w:t>
      </w:r>
      <w:r w:rsidR="00085A2B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085A2B" w:rsidRPr="00085A2B">
        <w:rPr>
          <w:rFonts w:ascii="Calibri" w:hAnsi="Calibri" w:cs="Arial"/>
          <w:color w:val="000000"/>
          <w:sz w:val="24"/>
          <w:szCs w:val="24"/>
        </w:rPr>
        <w:t>(22 M.R.S, c. 1683, sub-c. 1 § 8733)</w:t>
      </w:r>
    </w:p>
    <w:p w14:paraId="7DC647D4" w14:textId="72378501" w:rsidR="00110F8E" w:rsidRPr="00110F8E" w:rsidRDefault="00110F8E" w:rsidP="00085A2B">
      <w:pPr>
        <w:pStyle w:val="ListParagraph"/>
        <w:numPr>
          <w:ilvl w:val="0"/>
          <w:numId w:val="0"/>
        </w:numPr>
        <w:ind w:left="360"/>
        <w:rPr>
          <w:rFonts w:ascii="Calibri" w:hAnsi="Calibri" w:cs="Arial"/>
          <w:color w:val="000000"/>
          <w:sz w:val="24"/>
          <w:szCs w:val="24"/>
        </w:rPr>
      </w:pPr>
      <w:r w:rsidRPr="00085A2B">
        <w:rPr>
          <w:rFonts w:ascii="Calibri" w:hAnsi="Calibri" w:cs="Arial"/>
          <w:color w:val="000000"/>
          <w:sz w:val="24"/>
          <w:szCs w:val="24"/>
        </w:rPr>
        <w:t xml:space="preserve">Information provided to the MHDO by a reporting entity under this Chapter is confidential and not a public record under 1 M.R.S., Chapter 13. </w:t>
      </w:r>
    </w:p>
    <w:sectPr w:rsidR="00110F8E" w:rsidRPr="00110F8E" w:rsidSect="00F36B87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378C" w14:textId="77777777" w:rsidR="00FD685D" w:rsidRDefault="00FD685D" w:rsidP="00364CCC">
      <w:r>
        <w:separator/>
      </w:r>
    </w:p>
    <w:p w14:paraId="7591E87F" w14:textId="77777777" w:rsidR="00FD685D" w:rsidRDefault="00FD685D" w:rsidP="00364CCC"/>
  </w:endnote>
  <w:endnote w:type="continuationSeparator" w:id="0">
    <w:p w14:paraId="563FB14D" w14:textId="77777777" w:rsidR="00FD685D" w:rsidRDefault="00FD685D" w:rsidP="00364CCC">
      <w:r>
        <w:continuationSeparator/>
      </w:r>
    </w:p>
    <w:p w14:paraId="6481B528" w14:textId="77777777" w:rsidR="00FD685D" w:rsidRDefault="00FD685D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C362" w14:textId="57E6E63C" w:rsidR="003F45D2" w:rsidRDefault="00BC7AE8" w:rsidP="00364C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685D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7AE8">
      <w:rPr>
        <w:color w:val="808080"/>
        <w:spacing w:val="60"/>
      </w:rPr>
      <w:t>Page</w:t>
    </w:r>
  </w:p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040F" w14:textId="77777777" w:rsidR="00FD685D" w:rsidRDefault="00FD685D" w:rsidP="00364CCC">
      <w:r>
        <w:separator/>
      </w:r>
    </w:p>
    <w:p w14:paraId="0342770A" w14:textId="77777777" w:rsidR="00FD685D" w:rsidRDefault="00FD685D" w:rsidP="00364CCC"/>
  </w:footnote>
  <w:footnote w:type="continuationSeparator" w:id="0">
    <w:p w14:paraId="73EA4473" w14:textId="77777777" w:rsidR="00FD685D" w:rsidRDefault="00FD685D" w:rsidP="00364CCC">
      <w:r>
        <w:continuationSeparator/>
      </w:r>
    </w:p>
    <w:p w14:paraId="7D50D8D3" w14:textId="77777777" w:rsidR="00FD685D" w:rsidRDefault="00FD685D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62D"/>
    <w:multiLevelType w:val="hybridMultilevel"/>
    <w:tmpl w:val="F68E3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AC24724"/>
    <w:multiLevelType w:val="hybridMultilevel"/>
    <w:tmpl w:val="C77C53D2"/>
    <w:lvl w:ilvl="0" w:tplc="217E44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332FA"/>
    <w:multiLevelType w:val="hybridMultilevel"/>
    <w:tmpl w:val="3A44CCCC"/>
    <w:lvl w:ilvl="0" w:tplc="EDD24A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54BD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13564"/>
    <w:multiLevelType w:val="hybridMultilevel"/>
    <w:tmpl w:val="14824142"/>
    <w:lvl w:ilvl="0" w:tplc="EDD24A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2654BD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8E5A6C"/>
    <w:multiLevelType w:val="hybridMultilevel"/>
    <w:tmpl w:val="5DDC24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FFE11FD"/>
    <w:multiLevelType w:val="hybridMultilevel"/>
    <w:tmpl w:val="A0E4F7E2"/>
    <w:lvl w:ilvl="0" w:tplc="EDD24A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2654BD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16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2"/>
  </w:num>
  <w:num w:numId="23">
    <w:abstractNumId w:val="11"/>
  </w:num>
  <w:num w:numId="24">
    <w:abstractNumId w:val="11"/>
  </w:num>
  <w:num w:numId="25">
    <w:abstractNumId w:val="12"/>
  </w:num>
  <w:num w:numId="26">
    <w:abstractNumId w:val="11"/>
  </w:num>
  <w:num w:numId="27">
    <w:abstractNumId w:val="11"/>
  </w:num>
  <w:num w:numId="28">
    <w:abstractNumId w:val="1"/>
  </w:num>
  <w:num w:numId="29">
    <w:abstractNumId w:val="15"/>
  </w:num>
  <w:num w:numId="30">
    <w:abstractNumId w:val="5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85A2B"/>
    <w:rsid w:val="00096B64"/>
    <w:rsid w:val="000A158F"/>
    <w:rsid w:val="000A7508"/>
    <w:rsid w:val="000C6E2A"/>
    <w:rsid w:val="000E4F9D"/>
    <w:rsid w:val="000E705B"/>
    <w:rsid w:val="000E7C0D"/>
    <w:rsid w:val="00102E53"/>
    <w:rsid w:val="00110F8E"/>
    <w:rsid w:val="00114FB7"/>
    <w:rsid w:val="0011568A"/>
    <w:rsid w:val="00116907"/>
    <w:rsid w:val="001221AC"/>
    <w:rsid w:val="00123E3B"/>
    <w:rsid w:val="00135750"/>
    <w:rsid w:val="00143AE5"/>
    <w:rsid w:val="001504E4"/>
    <w:rsid w:val="001608CF"/>
    <w:rsid w:val="001744FF"/>
    <w:rsid w:val="001779E9"/>
    <w:rsid w:val="0018675B"/>
    <w:rsid w:val="00197427"/>
    <w:rsid w:val="001A4C8A"/>
    <w:rsid w:val="001B0215"/>
    <w:rsid w:val="001C18A4"/>
    <w:rsid w:val="001E0F3C"/>
    <w:rsid w:val="001E1EF1"/>
    <w:rsid w:val="001E24E7"/>
    <w:rsid w:val="001E2525"/>
    <w:rsid w:val="001E6895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44707"/>
    <w:rsid w:val="00246C03"/>
    <w:rsid w:val="00247964"/>
    <w:rsid w:val="0025024E"/>
    <w:rsid w:val="00260620"/>
    <w:rsid w:val="00262757"/>
    <w:rsid w:val="0028388E"/>
    <w:rsid w:val="00284CE9"/>
    <w:rsid w:val="00294A0E"/>
    <w:rsid w:val="002A38FC"/>
    <w:rsid w:val="002B0C91"/>
    <w:rsid w:val="002C53E9"/>
    <w:rsid w:val="002C6FFA"/>
    <w:rsid w:val="002D2222"/>
    <w:rsid w:val="002F37EC"/>
    <w:rsid w:val="002F3AA4"/>
    <w:rsid w:val="00311EEE"/>
    <w:rsid w:val="0031647E"/>
    <w:rsid w:val="00334F10"/>
    <w:rsid w:val="00341B11"/>
    <w:rsid w:val="00342BB5"/>
    <w:rsid w:val="00350A4B"/>
    <w:rsid w:val="00353C87"/>
    <w:rsid w:val="0035535F"/>
    <w:rsid w:val="003628CD"/>
    <w:rsid w:val="00364CCC"/>
    <w:rsid w:val="00370545"/>
    <w:rsid w:val="00373B27"/>
    <w:rsid w:val="003759BC"/>
    <w:rsid w:val="00383BD0"/>
    <w:rsid w:val="003844B7"/>
    <w:rsid w:val="003864C8"/>
    <w:rsid w:val="003B47D8"/>
    <w:rsid w:val="003B77DA"/>
    <w:rsid w:val="003C3934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33AE9"/>
    <w:rsid w:val="00440B9F"/>
    <w:rsid w:val="00473801"/>
    <w:rsid w:val="00473EA0"/>
    <w:rsid w:val="00476DE9"/>
    <w:rsid w:val="00491264"/>
    <w:rsid w:val="004921C0"/>
    <w:rsid w:val="004971F8"/>
    <w:rsid w:val="004A05D6"/>
    <w:rsid w:val="004C6B86"/>
    <w:rsid w:val="004D2707"/>
    <w:rsid w:val="004D47FF"/>
    <w:rsid w:val="004D6887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869F1"/>
    <w:rsid w:val="00587073"/>
    <w:rsid w:val="0059018A"/>
    <w:rsid w:val="005C3B00"/>
    <w:rsid w:val="005C4908"/>
    <w:rsid w:val="005C58DA"/>
    <w:rsid w:val="005D55A4"/>
    <w:rsid w:val="00622863"/>
    <w:rsid w:val="0063708A"/>
    <w:rsid w:val="00640059"/>
    <w:rsid w:val="0064190F"/>
    <w:rsid w:val="00645394"/>
    <w:rsid w:val="00656A0B"/>
    <w:rsid w:val="00661D21"/>
    <w:rsid w:val="006761F1"/>
    <w:rsid w:val="0069758D"/>
    <w:rsid w:val="006A14BD"/>
    <w:rsid w:val="006B05C4"/>
    <w:rsid w:val="006B067B"/>
    <w:rsid w:val="006B213E"/>
    <w:rsid w:val="006C3098"/>
    <w:rsid w:val="006C7517"/>
    <w:rsid w:val="006D0F79"/>
    <w:rsid w:val="006E2533"/>
    <w:rsid w:val="006E5D4D"/>
    <w:rsid w:val="006E7FAD"/>
    <w:rsid w:val="0070090F"/>
    <w:rsid w:val="0072425F"/>
    <w:rsid w:val="007302E6"/>
    <w:rsid w:val="00733E42"/>
    <w:rsid w:val="007344F1"/>
    <w:rsid w:val="00735C81"/>
    <w:rsid w:val="00740178"/>
    <w:rsid w:val="00751CFD"/>
    <w:rsid w:val="0077633F"/>
    <w:rsid w:val="00782C39"/>
    <w:rsid w:val="007A0217"/>
    <w:rsid w:val="007A2AAF"/>
    <w:rsid w:val="007B2ED6"/>
    <w:rsid w:val="007B6278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4240D"/>
    <w:rsid w:val="00850319"/>
    <w:rsid w:val="008533E3"/>
    <w:rsid w:val="00865326"/>
    <w:rsid w:val="00865DA9"/>
    <w:rsid w:val="00874C47"/>
    <w:rsid w:val="00876746"/>
    <w:rsid w:val="00876AC3"/>
    <w:rsid w:val="00880F55"/>
    <w:rsid w:val="00884FBD"/>
    <w:rsid w:val="00895CDA"/>
    <w:rsid w:val="008A5ADF"/>
    <w:rsid w:val="008B2D6D"/>
    <w:rsid w:val="008D4B3C"/>
    <w:rsid w:val="00900586"/>
    <w:rsid w:val="00917D7F"/>
    <w:rsid w:val="00921561"/>
    <w:rsid w:val="0092463D"/>
    <w:rsid w:val="0093637B"/>
    <w:rsid w:val="00967F89"/>
    <w:rsid w:val="00974EEF"/>
    <w:rsid w:val="00982EA9"/>
    <w:rsid w:val="009959E2"/>
    <w:rsid w:val="009A1D74"/>
    <w:rsid w:val="009A1EEC"/>
    <w:rsid w:val="009B6CB5"/>
    <w:rsid w:val="009C46CA"/>
    <w:rsid w:val="009D29D1"/>
    <w:rsid w:val="009D3837"/>
    <w:rsid w:val="009F3329"/>
    <w:rsid w:val="00A01571"/>
    <w:rsid w:val="00A040A7"/>
    <w:rsid w:val="00A22FAA"/>
    <w:rsid w:val="00A26B11"/>
    <w:rsid w:val="00A303A9"/>
    <w:rsid w:val="00A4628F"/>
    <w:rsid w:val="00A67CC8"/>
    <w:rsid w:val="00A754ED"/>
    <w:rsid w:val="00AB071E"/>
    <w:rsid w:val="00AB0E27"/>
    <w:rsid w:val="00AD42B6"/>
    <w:rsid w:val="00AE5B98"/>
    <w:rsid w:val="00AF14D9"/>
    <w:rsid w:val="00B00F2B"/>
    <w:rsid w:val="00B10A93"/>
    <w:rsid w:val="00B152BF"/>
    <w:rsid w:val="00B20211"/>
    <w:rsid w:val="00B22265"/>
    <w:rsid w:val="00B317A0"/>
    <w:rsid w:val="00B321C4"/>
    <w:rsid w:val="00B4147C"/>
    <w:rsid w:val="00B540A6"/>
    <w:rsid w:val="00B61D82"/>
    <w:rsid w:val="00B74E74"/>
    <w:rsid w:val="00B7541D"/>
    <w:rsid w:val="00B769F1"/>
    <w:rsid w:val="00B76E08"/>
    <w:rsid w:val="00B860B7"/>
    <w:rsid w:val="00B92B57"/>
    <w:rsid w:val="00BA1816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F6286"/>
    <w:rsid w:val="00BF77AD"/>
    <w:rsid w:val="00C02765"/>
    <w:rsid w:val="00C371EC"/>
    <w:rsid w:val="00C571BF"/>
    <w:rsid w:val="00CA5B91"/>
    <w:rsid w:val="00CE3A4E"/>
    <w:rsid w:val="00CE405D"/>
    <w:rsid w:val="00D019AC"/>
    <w:rsid w:val="00D154D5"/>
    <w:rsid w:val="00D31ED7"/>
    <w:rsid w:val="00D43AB2"/>
    <w:rsid w:val="00D550F5"/>
    <w:rsid w:val="00D65D7F"/>
    <w:rsid w:val="00D71543"/>
    <w:rsid w:val="00D76BFB"/>
    <w:rsid w:val="00D8742D"/>
    <w:rsid w:val="00D95E94"/>
    <w:rsid w:val="00DC2DF8"/>
    <w:rsid w:val="00DD40B7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33955"/>
    <w:rsid w:val="00E4080C"/>
    <w:rsid w:val="00E65019"/>
    <w:rsid w:val="00E70372"/>
    <w:rsid w:val="00E84996"/>
    <w:rsid w:val="00E919C9"/>
    <w:rsid w:val="00E974E0"/>
    <w:rsid w:val="00EA40AE"/>
    <w:rsid w:val="00EC00EF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C0CED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967C-C5E4-4627-AD34-285654DA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Bonneau, Philippe</cp:lastModifiedBy>
  <cp:revision>3</cp:revision>
  <cp:lastPrinted>2018-08-14T12:46:00Z</cp:lastPrinted>
  <dcterms:created xsi:type="dcterms:W3CDTF">2019-10-18T18:31:00Z</dcterms:created>
  <dcterms:modified xsi:type="dcterms:W3CDTF">2019-10-18T19:25:00Z</dcterms:modified>
</cp:coreProperties>
</file>