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3A75" w14:textId="77777777" w:rsidR="0038264A" w:rsidRDefault="004147C2" w:rsidP="007C4960">
      <w:pPr>
        <w:jc w:val="center"/>
        <w:rPr>
          <w:rFonts w:cs="Arial"/>
          <w:b/>
          <w:sz w:val="24"/>
          <w:szCs w:val="24"/>
        </w:rPr>
      </w:pPr>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bookmarkStart w:id="0" w:name="_GoBack"/>
      <w:bookmarkEnd w:id="0"/>
    </w:p>
    <w:p w14:paraId="0F0BD756" w14:textId="2634E6C0" w:rsidR="008B570A" w:rsidRDefault="008B570A" w:rsidP="000868B4">
      <w:pPr>
        <w:rPr>
          <w:rFonts w:asciiTheme="minorHAnsi" w:hAnsiTheme="minorHAnsi" w:cs="Arial"/>
          <w:sz w:val="24"/>
          <w:szCs w:val="24"/>
        </w:rPr>
      </w:pPr>
    </w:p>
    <w:p w14:paraId="36A1F2CF" w14:textId="77777777" w:rsidR="008B570A" w:rsidRDefault="008B570A" w:rsidP="000868B4">
      <w:pPr>
        <w:rPr>
          <w:rFonts w:asciiTheme="minorHAnsi" w:hAnsiTheme="minorHAnsi" w:cs="Arial"/>
          <w:sz w:val="24"/>
          <w:szCs w:val="24"/>
        </w:rPr>
      </w:pPr>
    </w:p>
    <w:p w14:paraId="22F54E2E" w14:textId="24AA6C0E" w:rsidR="00734A65" w:rsidRPr="00CF634B" w:rsidRDefault="00734A65" w:rsidP="00EA4F5C">
      <w:pPr>
        <w:rPr>
          <w:rFonts w:asciiTheme="minorHAnsi" w:hAnsiTheme="minorHAnsi" w:cs="Arial"/>
          <w:b/>
          <w:sz w:val="24"/>
          <w:szCs w:val="24"/>
        </w:rPr>
      </w:pPr>
      <w:r w:rsidRPr="00CF634B">
        <w:rPr>
          <w:rFonts w:asciiTheme="minorHAnsi" w:hAnsiTheme="minorHAnsi" w:cs="Arial"/>
          <w:b/>
          <w:sz w:val="24"/>
          <w:szCs w:val="24"/>
        </w:rPr>
        <w:t xml:space="preserve">Chapter </w:t>
      </w:r>
      <w:r w:rsidR="00301A6F" w:rsidRPr="00CF634B">
        <w:rPr>
          <w:rFonts w:asciiTheme="minorHAnsi" w:hAnsiTheme="minorHAnsi" w:cs="Arial"/>
          <w:b/>
          <w:sz w:val="24"/>
          <w:szCs w:val="24"/>
        </w:rPr>
        <w:t>570: Uniform Reporting System for Prescription Drug Price Data Sets</w:t>
      </w:r>
    </w:p>
    <w:p w14:paraId="37C505F1" w14:textId="77777777" w:rsidR="000868B4" w:rsidRPr="00CF634B" w:rsidRDefault="000868B4" w:rsidP="000868B4">
      <w:pPr>
        <w:rPr>
          <w:rFonts w:asciiTheme="minorHAnsi" w:hAnsiTheme="minorHAnsi" w:cs="Arial"/>
          <w:sz w:val="24"/>
          <w:szCs w:val="24"/>
        </w:rPr>
      </w:pPr>
    </w:p>
    <w:p w14:paraId="1C81B01E" w14:textId="20718073" w:rsidR="000868B4" w:rsidRPr="00CF634B" w:rsidRDefault="000877D0" w:rsidP="000868B4">
      <w:pPr>
        <w:rPr>
          <w:rFonts w:asciiTheme="minorHAnsi" w:hAnsiTheme="minorHAnsi" w:cs="Arial"/>
          <w:sz w:val="24"/>
          <w:szCs w:val="24"/>
        </w:rPr>
      </w:pPr>
      <w:r w:rsidRPr="00CF634B">
        <w:rPr>
          <w:rFonts w:asciiTheme="minorHAnsi" w:hAnsiTheme="minorHAnsi" w:cs="Arial"/>
          <w:i/>
          <w:sz w:val="24"/>
          <w:szCs w:val="24"/>
        </w:rPr>
        <w:t xml:space="preserve">Revised on </w:t>
      </w:r>
      <w:r w:rsidR="008F4FAF">
        <w:rPr>
          <w:rFonts w:asciiTheme="minorHAnsi" w:hAnsiTheme="minorHAnsi" w:cs="Arial"/>
          <w:i/>
          <w:sz w:val="24"/>
          <w:szCs w:val="24"/>
        </w:rPr>
        <w:t xml:space="preserve">January 16, 2020 </w:t>
      </w:r>
      <w:r w:rsidR="00A636FD" w:rsidRPr="00CF634B">
        <w:rPr>
          <w:rFonts w:asciiTheme="minorHAnsi" w:hAnsiTheme="minorHAnsi" w:cs="Arial"/>
          <w:i/>
          <w:sz w:val="24"/>
          <w:szCs w:val="24"/>
        </w:rPr>
        <w:t>based on</w:t>
      </w:r>
      <w:r w:rsidR="00A6668C" w:rsidRPr="00CF634B">
        <w:rPr>
          <w:rFonts w:asciiTheme="minorHAnsi" w:hAnsiTheme="minorHAnsi" w:cs="Arial"/>
          <w:i/>
          <w:sz w:val="24"/>
          <w:szCs w:val="24"/>
        </w:rPr>
        <w:t xml:space="preserve"> MHDO Board meeting </w:t>
      </w:r>
      <w:r w:rsidR="008F4FAF">
        <w:rPr>
          <w:rFonts w:asciiTheme="minorHAnsi" w:hAnsiTheme="minorHAnsi" w:cs="Arial"/>
          <w:i/>
          <w:sz w:val="24"/>
          <w:szCs w:val="24"/>
        </w:rPr>
        <w:t>on January 16, 2020</w:t>
      </w:r>
      <w:r w:rsidR="00301A6F" w:rsidRPr="00CF634B">
        <w:rPr>
          <w:rFonts w:asciiTheme="minorHAnsi" w:hAnsiTheme="minorHAnsi" w:cs="Arial"/>
          <w:sz w:val="24"/>
          <w:szCs w:val="24"/>
        </w:rPr>
        <w:t>.</w:t>
      </w:r>
    </w:p>
    <w:p w14:paraId="364E1FE7" w14:textId="77777777" w:rsidR="000868B4" w:rsidRPr="00CF634B" w:rsidRDefault="000868B4" w:rsidP="000868B4">
      <w:pPr>
        <w:rPr>
          <w:rFonts w:asciiTheme="minorHAnsi" w:hAnsiTheme="minorHAnsi" w:cs="Arial"/>
          <w:sz w:val="24"/>
          <w:szCs w:val="24"/>
          <w:u w:val="single"/>
        </w:rPr>
      </w:pPr>
    </w:p>
    <w:p w14:paraId="6E2AB2D0" w14:textId="77777777" w:rsidR="000868B4" w:rsidRPr="00CF634B" w:rsidRDefault="000868B4" w:rsidP="000868B4">
      <w:pPr>
        <w:rPr>
          <w:rFonts w:asciiTheme="minorHAnsi" w:hAnsiTheme="minorHAnsi" w:cs="Arial"/>
          <w:b/>
          <w:sz w:val="24"/>
          <w:szCs w:val="24"/>
          <w:u w:val="single"/>
        </w:rPr>
      </w:pPr>
      <w:r w:rsidRPr="00CF634B">
        <w:rPr>
          <w:rFonts w:asciiTheme="minorHAnsi" w:hAnsiTheme="minorHAnsi" w:cs="Arial"/>
          <w:b/>
          <w:sz w:val="24"/>
          <w:szCs w:val="24"/>
          <w:u w:val="single"/>
        </w:rPr>
        <w:t>Table of Contents</w:t>
      </w:r>
    </w:p>
    <w:p w14:paraId="771AC3DB" w14:textId="77777777" w:rsidR="00494720" w:rsidRPr="00CF634B" w:rsidRDefault="00494720" w:rsidP="000868B4">
      <w:pPr>
        <w:rPr>
          <w:rFonts w:asciiTheme="minorHAnsi" w:hAnsiTheme="minorHAnsi" w:cs="Arial"/>
          <w:sz w:val="24"/>
          <w:szCs w:val="24"/>
        </w:rPr>
      </w:pPr>
    </w:p>
    <w:p w14:paraId="58D890C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  Basis Statement. </w:t>
      </w:r>
    </w:p>
    <w:p w14:paraId="07373BFA" w14:textId="77777777" w:rsidR="000868B4" w:rsidRPr="00CF634B" w:rsidRDefault="000868B4" w:rsidP="000868B4">
      <w:pPr>
        <w:rPr>
          <w:rFonts w:asciiTheme="minorHAnsi" w:hAnsiTheme="minorHAnsi" w:cs="Arial"/>
          <w:sz w:val="24"/>
          <w:szCs w:val="24"/>
        </w:rPr>
      </w:pPr>
    </w:p>
    <w:p w14:paraId="6D0487D6"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  Names of Individuals that Submitted Comments. </w:t>
      </w:r>
    </w:p>
    <w:p w14:paraId="61DC086A" w14:textId="77777777" w:rsidR="000868B4" w:rsidRPr="00CF634B" w:rsidRDefault="000868B4" w:rsidP="000868B4">
      <w:pPr>
        <w:rPr>
          <w:rFonts w:asciiTheme="minorHAnsi" w:hAnsiTheme="minorHAnsi" w:cs="Arial"/>
          <w:sz w:val="24"/>
          <w:szCs w:val="24"/>
        </w:rPr>
      </w:pPr>
    </w:p>
    <w:p w14:paraId="513BA51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III.  Summary of Comments Received by Submitter with Proposed Agency Response. </w:t>
      </w:r>
    </w:p>
    <w:p w14:paraId="78397AB5" w14:textId="77777777" w:rsidR="000868B4" w:rsidRPr="00CF634B" w:rsidRDefault="000868B4" w:rsidP="000868B4">
      <w:pPr>
        <w:rPr>
          <w:rFonts w:asciiTheme="minorHAnsi" w:hAnsiTheme="minorHAnsi" w:cs="Arial"/>
          <w:sz w:val="24"/>
          <w:szCs w:val="24"/>
        </w:rPr>
      </w:pPr>
    </w:p>
    <w:p w14:paraId="50256EA9" w14:textId="6F629902"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 Basis Statement</w:t>
      </w:r>
      <w:r w:rsidRPr="00CF634B">
        <w:rPr>
          <w:rFonts w:asciiTheme="minorHAnsi" w:hAnsiTheme="minorHAnsi" w:cs="Arial"/>
          <w:sz w:val="24"/>
          <w:szCs w:val="24"/>
        </w:rPr>
        <w:t xml:space="preserve"> </w:t>
      </w:r>
    </w:p>
    <w:p w14:paraId="3494D15F" w14:textId="4C30F5DD" w:rsidR="00301A6F" w:rsidRPr="00CF634B" w:rsidRDefault="00301A6F" w:rsidP="000868B4">
      <w:pPr>
        <w:rPr>
          <w:rFonts w:asciiTheme="minorHAnsi" w:hAnsiTheme="minorHAnsi" w:cs="Arial"/>
          <w:sz w:val="24"/>
          <w:szCs w:val="24"/>
        </w:rPr>
      </w:pPr>
    </w:p>
    <w:p w14:paraId="092D8926" w14:textId="5D2D41FA"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 xml:space="preserve">The Maine Health Data Organization (MHDO) is authorized by statute to collect health care data, including prescription drug price data.  The purpose of this Chapter is to explain the provisions for filing prescription drug price sets from prescription drug manufacturers, wholesale </w:t>
      </w:r>
      <w:r w:rsidR="00A66DD4">
        <w:rPr>
          <w:rFonts w:asciiTheme="minorHAnsi" w:hAnsiTheme="minorHAnsi" w:cs="Arial"/>
          <w:sz w:val="24"/>
          <w:szCs w:val="24"/>
        </w:rPr>
        <w:t xml:space="preserve">drug </w:t>
      </w:r>
      <w:r w:rsidRPr="00CF634B">
        <w:rPr>
          <w:rFonts w:asciiTheme="minorHAnsi" w:hAnsiTheme="minorHAnsi" w:cs="Arial"/>
          <w:sz w:val="24"/>
          <w:szCs w:val="24"/>
        </w:rPr>
        <w:t>distributors and pharmacy benefits managers.</w:t>
      </w:r>
    </w:p>
    <w:p w14:paraId="3809B4AF" w14:textId="77777777" w:rsidR="00301A6F" w:rsidRPr="00CF634B" w:rsidRDefault="00301A6F" w:rsidP="00BF5CD9">
      <w:pPr>
        <w:rPr>
          <w:rFonts w:asciiTheme="minorHAnsi" w:hAnsiTheme="minorHAnsi" w:cs="Arial"/>
          <w:sz w:val="24"/>
          <w:szCs w:val="24"/>
        </w:rPr>
      </w:pPr>
    </w:p>
    <w:p w14:paraId="32F32A82" w14:textId="1150886A"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The MHDO Board met on May 23, 2019 and authorized the MHDO to initiate rulemaking to Chapter 570 (22 MRSA §8704, sub-§1; §8705-A; §8737).</w:t>
      </w:r>
      <w:r w:rsidR="000A2985" w:rsidRPr="00CF634B">
        <w:rPr>
          <w:rFonts w:asciiTheme="minorHAnsi" w:hAnsiTheme="minorHAnsi" w:cs="Arial"/>
          <w:sz w:val="24"/>
          <w:szCs w:val="24"/>
        </w:rPr>
        <w:t xml:space="preserve"> A public hearing was held on November 21, 2019 with a </w:t>
      </w:r>
      <w:r w:rsidR="0050791D" w:rsidRPr="00CF634B">
        <w:rPr>
          <w:rFonts w:asciiTheme="minorHAnsi" w:hAnsiTheme="minorHAnsi" w:cs="Arial"/>
          <w:sz w:val="24"/>
          <w:szCs w:val="24"/>
        </w:rPr>
        <w:t>10-day</w:t>
      </w:r>
      <w:r w:rsidR="000A2985" w:rsidRPr="00CF634B">
        <w:rPr>
          <w:rFonts w:asciiTheme="minorHAnsi" w:hAnsiTheme="minorHAnsi" w:cs="Arial"/>
          <w:sz w:val="24"/>
          <w:szCs w:val="24"/>
        </w:rPr>
        <w:t xml:space="preserve"> public comment period. </w:t>
      </w:r>
      <w:r w:rsidRPr="00CF634B">
        <w:rPr>
          <w:rFonts w:asciiTheme="minorHAnsi" w:hAnsiTheme="minorHAnsi" w:cs="Arial"/>
          <w:sz w:val="24"/>
          <w:szCs w:val="24"/>
        </w:rPr>
        <w:t>This is a routine technical rule only until April 1, 2020 then it is a major substantive rule (PL 2019 c470, Section 10).</w:t>
      </w:r>
    </w:p>
    <w:p w14:paraId="198A4FD9" w14:textId="77777777" w:rsidR="006D5DAA" w:rsidRPr="00CF634B" w:rsidRDefault="006D5DAA" w:rsidP="00BF5CD9">
      <w:pPr>
        <w:rPr>
          <w:rFonts w:asciiTheme="minorHAnsi" w:hAnsiTheme="minorHAnsi" w:cs="Arial"/>
          <w:sz w:val="24"/>
          <w:szCs w:val="24"/>
        </w:rPr>
      </w:pPr>
    </w:p>
    <w:p w14:paraId="35B27D71" w14:textId="77777777"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 xml:space="preserve">The following represent the contents and the rationale for this new rule: </w:t>
      </w:r>
    </w:p>
    <w:p w14:paraId="1B832514" w14:textId="77777777" w:rsidR="00301A6F" w:rsidRPr="00CF634B" w:rsidRDefault="00301A6F" w:rsidP="00301A6F">
      <w:pPr>
        <w:ind w:left="720"/>
        <w:rPr>
          <w:rFonts w:asciiTheme="minorHAnsi" w:hAnsiTheme="minorHAnsi" w:cs="Arial"/>
          <w:sz w:val="24"/>
          <w:szCs w:val="24"/>
        </w:rPr>
      </w:pPr>
    </w:p>
    <w:p w14:paraId="11323F9E" w14:textId="77777777" w:rsidR="00301A6F" w:rsidRPr="00CF634B" w:rsidRDefault="00301A6F" w:rsidP="00301A6F">
      <w:pPr>
        <w:pStyle w:val="ListParagraph"/>
        <w:numPr>
          <w:ilvl w:val="0"/>
          <w:numId w:val="35"/>
        </w:numPr>
        <w:tabs>
          <w:tab w:val="left" w:pos="900"/>
        </w:tabs>
        <w:spacing w:after="0" w:line="240" w:lineRule="auto"/>
        <w:ind w:left="1080"/>
        <w:rPr>
          <w:rFonts w:asciiTheme="minorHAnsi" w:hAnsiTheme="minorHAnsi" w:cs="Arial"/>
          <w:b/>
          <w:sz w:val="24"/>
          <w:szCs w:val="24"/>
        </w:rPr>
      </w:pPr>
      <w:r w:rsidRPr="00CF634B">
        <w:rPr>
          <w:rFonts w:asciiTheme="minorHAnsi" w:hAnsiTheme="minorHAnsi" w:cs="Arial"/>
          <w:b/>
          <w:bCs/>
          <w:sz w:val="24"/>
          <w:szCs w:val="24"/>
        </w:rPr>
        <w:t xml:space="preserve">Definitions </w:t>
      </w:r>
      <w:r w:rsidRPr="00CF634B">
        <w:rPr>
          <w:rFonts w:asciiTheme="minorHAnsi" w:hAnsiTheme="minorHAnsi" w:cs="Arial"/>
          <w:sz w:val="24"/>
          <w:szCs w:val="24"/>
        </w:rPr>
        <w:t>(22 M.R.S, c. 1683, sub-c. 1 § 8731)</w:t>
      </w:r>
    </w:p>
    <w:p w14:paraId="4FBF5196" w14:textId="77777777" w:rsidR="00301A6F" w:rsidRPr="00CF634B" w:rsidRDefault="00301A6F" w:rsidP="00301A6F">
      <w:pPr>
        <w:ind w:left="720"/>
        <w:rPr>
          <w:rFonts w:asciiTheme="minorHAnsi" w:hAnsiTheme="minorHAnsi" w:cs="Arial"/>
          <w:b/>
          <w:sz w:val="24"/>
          <w:szCs w:val="24"/>
        </w:rPr>
      </w:pPr>
    </w:p>
    <w:p w14:paraId="79A9C261" w14:textId="77777777" w:rsidR="00301A6F" w:rsidRPr="00CF634B" w:rsidRDefault="00301A6F" w:rsidP="00301A6F">
      <w:pPr>
        <w:pStyle w:val="ListParagraph"/>
        <w:numPr>
          <w:ilvl w:val="0"/>
          <w:numId w:val="35"/>
        </w:numPr>
        <w:tabs>
          <w:tab w:val="left" w:pos="900"/>
        </w:tabs>
        <w:spacing w:after="0" w:line="240" w:lineRule="auto"/>
        <w:ind w:left="1080"/>
        <w:rPr>
          <w:rFonts w:asciiTheme="minorHAnsi" w:hAnsiTheme="minorHAnsi" w:cs="Arial"/>
          <w:b/>
          <w:sz w:val="24"/>
          <w:szCs w:val="24"/>
        </w:rPr>
      </w:pPr>
      <w:r w:rsidRPr="00CF634B">
        <w:rPr>
          <w:rFonts w:asciiTheme="minorHAnsi" w:hAnsiTheme="minorHAnsi" w:cs="Arial"/>
          <w:b/>
          <w:sz w:val="24"/>
          <w:szCs w:val="24"/>
        </w:rPr>
        <w:t xml:space="preserve">Registration and Submission Requirements </w:t>
      </w:r>
      <w:r w:rsidRPr="00CF634B">
        <w:rPr>
          <w:rFonts w:asciiTheme="minorHAnsi" w:hAnsiTheme="minorHAnsi" w:cs="Arial"/>
          <w:sz w:val="24"/>
          <w:szCs w:val="24"/>
        </w:rPr>
        <w:t>(22 MRSA, c. 1683, sub-c. 1 § 8732)</w:t>
      </w:r>
    </w:p>
    <w:p w14:paraId="0092E9BF" w14:textId="77777777" w:rsidR="00301A6F" w:rsidRPr="00CF634B" w:rsidRDefault="00301A6F" w:rsidP="00301A6F">
      <w:pPr>
        <w:ind w:left="1080"/>
        <w:rPr>
          <w:rFonts w:asciiTheme="minorHAnsi" w:hAnsiTheme="minorHAnsi" w:cs="Arial"/>
          <w:sz w:val="24"/>
          <w:szCs w:val="24"/>
        </w:rPr>
      </w:pPr>
      <w:r w:rsidRPr="00CF634B">
        <w:rPr>
          <w:rFonts w:asciiTheme="minorHAnsi" w:hAnsiTheme="minorHAnsi" w:cs="Arial"/>
          <w:sz w:val="24"/>
          <w:szCs w:val="24"/>
        </w:rPr>
        <w:t>This section includes the requirements for the registration of reporting entities; conditions under which manufacturers must notify the MHDO; conditions under which the MDHO would require pricing component data from a reporting entity; the data elements contained in the various reports (data specifications); proper coding, formatting and submission of data; and submission deadlines and resubmission of rejected files.</w:t>
      </w:r>
    </w:p>
    <w:p w14:paraId="1F1DE415"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t>Evaluation; Notification; Response</w:t>
      </w:r>
    </w:p>
    <w:p w14:paraId="58C3CD19" w14:textId="77777777" w:rsidR="00301A6F" w:rsidRPr="00CF634B" w:rsidRDefault="00301A6F" w:rsidP="00301A6F">
      <w:pPr>
        <w:ind w:left="1080"/>
        <w:rPr>
          <w:rFonts w:asciiTheme="minorHAnsi" w:hAnsiTheme="minorHAnsi" w:cs="Arial"/>
          <w:sz w:val="24"/>
          <w:szCs w:val="24"/>
        </w:rPr>
      </w:pPr>
      <w:r w:rsidRPr="00CF634B">
        <w:rPr>
          <w:rFonts w:asciiTheme="minorHAnsi" w:hAnsiTheme="minorHAnsi" w:cs="Arial"/>
          <w:sz w:val="24"/>
          <w:szCs w:val="24"/>
        </w:rPr>
        <w:t>This section describes the evaluation or validation of data, failure notification to the submitting entity, and the time frame for correction and resubmission of data.</w:t>
      </w:r>
    </w:p>
    <w:p w14:paraId="6AA02AC2"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lastRenderedPageBreak/>
        <w:t xml:space="preserve">Compliance </w:t>
      </w:r>
      <w:r w:rsidRPr="00CF634B">
        <w:rPr>
          <w:rFonts w:asciiTheme="minorHAnsi" w:hAnsiTheme="minorHAnsi" w:cs="Arial"/>
          <w:sz w:val="24"/>
          <w:szCs w:val="24"/>
        </w:rPr>
        <w:t>requirements</w:t>
      </w:r>
      <w:r w:rsidRPr="00CF634B">
        <w:rPr>
          <w:rFonts w:asciiTheme="minorHAnsi" w:hAnsiTheme="minorHAnsi" w:cs="Arial"/>
          <w:b/>
          <w:sz w:val="24"/>
          <w:szCs w:val="24"/>
        </w:rPr>
        <w:t>,</w:t>
      </w:r>
      <w:r w:rsidRPr="00CF634B">
        <w:rPr>
          <w:rFonts w:asciiTheme="minorHAnsi" w:hAnsiTheme="minorHAnsi" w:cs="Arial"/>
          <w:sz w:val="24"/>
          <w:szCs w:val="24"/>
        </w:rPr>
        <w:t xml:space="preserve"> including certificate of accuracy, audit, corrective action plan and enforcement. (22 M.R.S, c. 1683, sub-c. 1 § 8735)</w:t>
      </w:r>
    </w:p>
    <w:p w14:paraId="1D954193" w14:textId="77777777" w:rsidR="00301A6F" w:rsidRPr="00CF634B" w:rsidRDefault="00301A6F" w:rsidP="00301A6F">
      <w:pPr>
        <w:pStyle w:val="ListParagraph"/>
        <w:ind w:left="1440"/>
        <w:rPr>
          <w:rFonts w:asciiTheme="minorHAnsi" w:hAnsiTheme="minorHAnsi" w:cs="Arial"/>
          <w:b/>
          <w:sz w:val="24"/>
          <w:szCs w:val="24"/>
        </w:rPr>
      </w:pPr>
    </w:p>
    <w:p w14:paraId="020169DD"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t xml:space="preserve">Extensions </w:t>
      </w:r>
      <w:r w:rsidRPr="00CF634B">
        <w:rPr>
          <w:rFonts w:asciiTheme="minorHAnsi" w:hAnsiTheme="minorHAnsi" w:cs="Arial"/>
          <w:sz w:val="24"/>
          <w:szCs w:val="24"/>
        </w:rPr>
        <w:t>to deadlines for data submission requirements.</w:t>
      </w:r>
    </w:p>
    <w:p w14:paraId="0B470560" w14:textId="77777777" w:rsidR="00301A6F" w:rsidRPr="00CF634B" w:rsidRDefault="00301A6F" w:rsidP="00301A6F">
      <w:pPr>
        <w:pStyle w:val="ListParagraph"/>
        <w:ind w:left="1440"/>
        <w:rPr>
          <w:rFonts w:asciiTheme="minorHAnsi" w:hAnsiTheme="minorHAnsi" w:cs="Arial"/>
          <w:b/>
          <w:sz w:val="24"/>
          <w:szCs w:val="24"/>
        </w:rPr>
      </w:pPr>
    </w:p>
    <w:p w14:paraId="3EA5EF4C" w14:textId="77777777" w:rsidR="00301A6F" w:rsidRPr="00CF634B" w:rsidRDefault="00301A6F" w:rsidP="00301A6F">
      <w:pPr>
        <w:pStyle w:val="ListParagraph"/>
        <w:numPr>
          <w:ilvl w:val="0"/>
          <w:numId w:val="35"/>
        </w:numPr>
        <w:tabs>
          <w:tab w:val="left" w:pos="900"/>
        </w:tabs>
        <w:spacing w:before="240" w:after="0" w:line="240" w:lineRule="auto"/>
        <w:ind w:left="1080"/>
        <w:rPr>
          <w:rFonts w:asciiTheme="minorHAnsi" w:hAnsiTheme="minorHAnsi" w:cs="Arial"/>
          <w:b/>
          <w:sz w:val="24"/>
          <w:szCs w:val="24"/>
        </w:rPr>
      </w:pPr>
      <w:r w:rsidRPr="00CF634B">
        <w:rPr>
          <w:rFonts w:asciiTheme="minorHAnsi" w:hAnsiTheme="minorHAnsi" w:cs="Arial"/>
          <w:b/>
          <w:sz w:val="24"/>
          <w:szCs w:val="24"/>
        </w:rPr>
        <w:t xml:space="preserve">Confidentiality </w:t>
      </w:r>
      <w:r w:rsidRPr="00CF634B">
        <w:rPr>
          <w:rFonts w:asciiTheme="minorHAnsi" w:hAnsiTheme="minorHAnsi" w:cs="Arial"/>
          <w:sz w:val="24"/>
          <w:szCs w:val="24"/>
        </w:rPr>
        <w:t>(22 M.R.S, c. 1683, sub-c. 1 § 8733)</w:t>
      </w:r>
    </w:p>
    <w:p w14:paraId="0D54FCA6" w14:textId="15EEB4F1" w:rsidR="00301A6F" w:rsidRPr="00CF634B" w:rsidRDefault="00301A6F" w:rsidP="00301A6F">
      <w:pPr>
        <w:pStyle w:val="ListParagraph"/>
        <w:ind w:left="1080"/>
        <w:rPr>
          <w:rFonts w:asciiTheme="minorHAnsi" w:hAnsiTheme="minorHAnsi" w:cs="Arial"/>
          <w:sz w:val="24"/>
          <w:szCs w:val="24"/>
        </w:rPr>
      </w:pPr>
      <w:r w:rsidRPr="00CF634B">
        <w:rPr>
          <w:rFonts w:asciiTheme="minorHAnsi" w:hAnsiTheme="minorHAnsi" w:cs="Arial"/>
          <w:sz w:val="24"/>
          <w:szCs w:val="24"/>
        </w:rPr>
        <w:t xml:space="preserve">Information provided to the MHDO by a reporting entity under this Chapter is confidential and not a public record under 1 M.R.S., Chapter 13. </w:t>
      </w:r>
    </w:p>
    <w:p w14:paraId="47131B71" w14:textId="77777777" w:rsidR="000868B4" w:rsidRPr="00CF634B" w:rsidRDefault="000868B4" w:rsidP="000868B4">
      <w:pPr>
        <w:rPr>
          <w:rFonts w:asciiTheme="minorHAnsi" w:hAnsiTheme="minorHAnsi" w:cs="Arial"/>
          <w:sz w:val="24"/>
          <w:szCs w:val="24"/>
        </w:rPr>
      </w:pPr>
    </w:p>
    <w:p w14:paraId="50912153" w14:textId="77777777" w:rsidR="000868B4" w:rsidRPr="00CF634B" w:rsidRDefault="000868B4" w:rsidP="000868B4">
      <w:pPr>
        <w:rPr>
          <w:rFonts w:asciiTheme="minorHAnsi" w:hAnsiTheme="minorHAnsi" w:cs="Arial"/>
          <w:b/>
          <w:sz w:val="24"/>
          <w:szCs w:val="24"/>
        </w:rPr>
      </w:pPr>
      <w:r w:rsidRPr="00CF634B">
        <w:rPr>
          <w:rFonts w:asciiTheme="minorHAnsi" w:hAnsiTheme="minorHAnsi" w:cs="Arial"/>
          <w:b/>
          <w:sz w:val="24"/>
          <w:szCs w:val="24"/>
        </w:rPr>
        <w:t>Section II. Names of Individuals that Submitted Comments</w:t>
      </w:r>
    </w:p>
    <w:p w14:paraId="6AB856CD" w14:textId="77777777" w:rsidR="000868B4" w:rsidRPr="00CF634B" w:rsidRDefault="000868B4" w:rsidP="000868B4">
      <w:pPr>
        <w:rPr>
          <w:rFonts w:asciiTheme="minorHAnsi" w:hAnsiTheme="minorHAnsi" w:cs="Arial"/>
          <w:b/>
          <w:sz w:val="24"/>
          <w:szCs w:val="24"/>
        </w:rPr>
      </w:pPr>
    </w:p>
    <w:p w14:paraId="3CE6D4A8" w14:textId="6F34C3E1"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The following is a list of individuals and affiliations that submitted written comments to the Maine Health Data Organization (MHDO) regarding the new proposed rule:</w:t>
      </w:r>
    </w:p>
    <w:p w14:paraId="7E79173B" w14:textId="77777777" w:rsidR="000868B4" w:rsidRPr="00CF634B" w:rsidRDefault="000868B4" w:rsidP="000868B4">
      <w:pPr>
        <w:rPr>
          <w:rFonts w:asciiTheme="minorHAnsi" w:hAnsiTheme="minorHAnsi" w:cs="Arial"/>
          <w:sz w:val="24"/>
          <w:szCs w:val="24"/>
        </w:rPr>
      </w:pPr>
    </w:p>
    <w:p w14:paraId="067D2959" w14:textId="528ABFD5" w:rsidR="000868B4" w:rsidRPr="00CF634B" w:rsidRDefault="00301A6F" w:rsidP="000868B4">
      <w:pPr>
        <w:numPr>
          <w:ilvl w:val="0"/>
          <w:numId w:val="14"/>
        </w:numPr>
        <w:rPr>
          <w:rFonts w:asciiTheme="minorHAnsi" w:hAnsiTheme="minorHAnsi" w:cs="Arial"/>
          <w:sz w:val="24"/>
          <w:szCs w:val="24"/>
        </w:rPr>
      </w:pPr>
      <w:r w:rsidRPr="00CF634B">
        <w:rPr>
          <w:rFonts w:asciiTheme="minorHAnsi" w:hAnsiTheme="minorHAnsi" w:cs="Arial"/>
          <w:sz w:val="24"/>
          <w:szCs w:val="24"/>
        </w:rPr>
        <w:t>April C. Alexander, VP State Legislative and Regulatory Affairs, Pharmaceutical Care Management Association (PCMA)</w:t>
      </w:r>
    </w:p>
    <w:p w14:paraId="2FEE3375" w14:textId="451B7568" w:rsidR="00E15D75" w:rsidRPr="00CF634B" w:rsidRDefault="00E15D75" w:rsidP="000868B4">
      <w:pPr>
        <w:numPr>
          <w:ilvl w:val="0"/>
          <w:numId w:val="14"/>
        </w:numPr>
        <w:rPr>
          <w:rFonts w:asciiTheme="minorHAnsi" w:hAnsiTheme="minorHAnsi" w:cs="Arial"/>
          <w:sz w:val="24"/>
          <w:szCs w:val="24"/>
        </w:rPr>
      </w:pPr>
      <w:r w:rsidRPr="00CF634B">
        <w:rPr>
          <w:rFonts w:asciiTheme="minorHAnsi" w:hAnsiTheme="minorHAnsi" w:cs="Arial"/>
          <w:sz w:val="24"/>
          <w:szCs w:val="24"/>
        </w:rPr>
        <w:t>Kelly A. Ryan, Deputy Vice President, State Policy, The Pharmaceutical Research and Manufacturers of America (PhRMA)</w:t>
      </w:r>
    </w:p>
    <w:p w14:paraId="4973F783" w14:textId="3F1F0484" w:rsidR="00E15D75" w:rsidRPr="00CF634B" w:rsidRDefault="00E15D75" w:rsidP="000868B4">
      <w:pPr>
        <w:numPr>
          <w:ilvl w:val="0"/>
          <w:numId w:val="14"/>
        </w:numPr>
        <w:rPr>
          <w:rFonts w:asciiTheme="minorHAnsi" w:hAnsiTheme="minorHAnsi" w:cs="Arial"/>
          <w:sz w:val="24"/>
          <w:szCs w:val="24"/>
        </w:rPr>
      </w:pPr>
      <w:r w:rsidRPr="00CF634B">
        <w:rPr>
          <w:rFonts w:asciiTheme="minorHAnsi" w:hAnsiTheme="minorHAnsi" w:cs="Arial"/>
          <w:sz w:val="24"/>
          <w:szCs w:val="24"/>
        </w:rPr>
        <w:t xml:space="preserve">Tara Ryan, VP, State Government Affairs, </w:t>
      </w:r>
      <w:r w:rsidR="00980F51" w:rsidRPr="00CF634B">
        <w:rPr>
          <w:rFonts w:asciiTheme="minorHAnsi" w:hAnsiTheme="minorHAnsi" w:cs="Arial"/>
          <w:sz w:val="24"/>
          <w:szCs w:val="24"/>
        </w:rPr>
        <w:t>The Association for Accessible Medicines (AAM)</w:t>
      </w:r>
    </w:p>
    <w:p w14:paraId="23FD0682" w14:textId="60BAB5EF" w:rsidR="00980F51" w:rsidRPr="00CF634B" w:rsidRDefault="00980F51" w:rsidP="000868B4">
      <w:pPr>
        <w:numPr>
          <w:ilvl w:val="0"/>
          <w:numId w:val="14"/>
        </w:numPr>
        <w:rPr>
          <w:rFonts w:asciiTheme="minorHAnsi" w:hAnsiTheme="minorHAnsi" w:cs="Arial"/>
          <w:sz w:val="24"/>
          <w:szCs w:val="24"/>
        </w:rPr>
      </w:pPr>
      <w:r w:rsidRPr="00CF634B">
        <w:rPr>
          <w:rFonts w:asciiTheme="minorHAnsi" w:hAnsiTheme="minorHAnsi" w:cs="Arial"/>
          <w:sz w:val="24"/>
          <w:szCs w:val="24"/>
        </w:rPr>
        <w:t>Roxolana Kozyckyj, Director, State Government Affairs, Healthcare Distributors Alliance</w:t>
      </w:r>
      <w:r w:rsidR="009D17B1">
        <w:rPr>
          <w:rFonts w:asciiTheme="minorHAnsi" w:hAnsiTheme="minorHAnsi" w:cs="Arial"/>
          <w:sz w:val="24"/>
          <w:szCs w:val="24"/>
        </w:rPr>
        <w:t xml:space="preserve"> (HDA)</w:t>
      </w:r>
    </w:p>
    <w:p w14:paraId="1B18BD8C" w14:textId="0BB9A2F7" w:rsidR="00980F51" w:rsidRPr="00CF634B" w:rsidRDefault="00980F51" w:rsidP="000868B4">
      <w:pPr>
        <w:numPr>
          <w:ilvl w:val="0"/>
          <w:numId w:val="14"/>
        </w:numPr>
        <w:rPr>
          <w:rFonts w:asciiTheme="minorHAnsi" w:hAnsiTheme="minorHAnsi" w:cs="Arial"/>
          <w:sz w:val="24"/>
          <w:szCs w:val="24"/>
        </w:rPr>
      </w:pPr>
      <w:r w:rsidRPr="00CF634B">
        <w:rPr>
          <w:rFonts w:asciiTheme="minorHAnsi" w:hAnsiTheme="minorHAnsi" w:cs="Arial"/>
          <w:sz w:val="24"/>
          <w:szCs w:val="24"/>
        </w:rPr>
        <w:t>Lori Parham, State Director, AARP</w:t>
      </w:r>
    </w:p>
    <w:p w14:paraId="6BAD94BA" w14:textId="4D6D72CB" w:rsidR="00980F51" w:rsidRPr="00CF634B" w:rsidRDefault="00980F51" w:rsidP="000868B4">
      <w:pPr>
        <w:numPr>
          <w:ilvl w:val="0"/>
          <w:numId w:val="14"/>
        </w:numPr>
        <w:rPr>
          <w:rFonts w:asciiTheme="minorHAnsi" w:hAnsiTheme="minorHAnsi" w:cs="Arial"/>
          <w:sz w:val="24"/>
          <w:szCs w:val="24"/>
        </w:rPr>
      </w:pPr>
      <w:r w:rsidRPr="00CF634B">
        <w:rPr>
          <w:rFonts w:asciiTheme="minorHAnsi" w:hAnsiTheme="minorHAnsi" w:cs="Arial"/>
          <w:sz w:val="24"/>
          <w:szCs w:val="24"/>
        </w:rPr>
        <w:t>Ann Woloson, Executive Director, Consumers for Affordable Health Care</w:t>
      </w:r>
      <w:r w:rsidR="009D17B1">
        <w:rPr>
          <w:rFonts w:asciiTheme="minorHAnsi" w:hAnsiTheme="minorHAnsi" w:cs="Arial"/>
          <w:sz w:val="24"/>
          <w:szCs w:val="24"/>
        </w:rPr>
        <w:t xml:space="preserve"> (CAHC)</w:t>
      </w:r>
    </w:p>
    <w:p w14:paraId="1355F8E1" w14:textId="47D7443F" w:rsidR="000868B4" w:rsidRDefault="000868B4" w:rsidP="000868B4">
      <w:pPr>
        <w:rPr>
          <w:rFonts w:asciiTheme="minorHAnsi" w:hAnsiTheme="minorHAnsi" w:cs="Arial"/>
          <w:sz w:val="24"/>
          <w:szCs w:val="24"/>
        </w:rPr>
      </w:pPr>
    </w:p>
    <w:p w14:paraId="2861FBCE" w14:textId="77777777" w:rsidR="00EC6122" w:rsidRPr="00CF634B" w:rsidRDefault="00EC6122" w:rsidP="000868B4">
      <w:pPr>
        <w:rPr>
          <w:rFonts w:asciiTheme="minorHAnsi" w:hAnsiTheme="minorHAnsi" w:cs="Arial"/>
          <w:sz w:val="24"/>
          <w:szCs w:val="24"/>
        </w:rPr>
      </w:pPr>
    </w:p>
    <w:p w14:paraId="10D29F78" w14:textId="635330A9"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III. Summary of Comments Received by Submitter with Proposed Agency Response &amp; Action.</w:t>
      </w:r>
      <w:r w:rsidRPr="00CF634B">
        <w:rPr>
          <w:rFonts w:asciiTheme="minorHAnsi" w:hAnsiTheme="minorHAnsi" w:cs="Arial"/>
          <w:sz w:val="24"/>
          <w:szCs w:val="24"/>
        </w:rPr>
        <w:t xml:space="preserve"> </w:t>
      </w:r>
    </w:p>
    <w:p w14:paraId="005C16DE" w14:textId="77777777" w:rsidR="00A36E80" w:rsidRPr="00CF634B" w:rsidRDefault="00A36E80" w:rsidP="000868B4">
      <w:pPr>
        <w:rPr>
          <w:rFonts w:asciiTheme="minorHAnsi" w:hAnsiTheme="minorHAnsi" w:cs="Arial"/>
          <w:sz w:val="24"/>
          <w:szCs w:val="24"/>
        </w:rPr>
      </w:pPr>
    </w:p>
    <w:p w14:paraId="7B3C82ED" w14:textId="52AE8F99"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Below is a summary of the comments received by each sub</w:t>
      </w:r>
      <w:r w:rsidR="00334E3B" w:rsidRPr="00CF634B">
        <w:rPr>
          <w:rFonts w:asciiTheme="minorHAnsi" w:hAnsiTheme="minorHAnsi" w:cs="Arial"/>
          <w:sz w:val="24"/>
          <w:szCs w:val="24"/>
        </w:rPr>
        <w:t>mitter and the proposed Agency R</w:t>
      </w:r>
      <w:r w:rsidRPr="00CF634B">
        <w:rPr>
          <w:rFonts w:asciiTheme="minorHAnsi" w:hAnsiTheme="minorHAnsi" w:cs="Arial"/>
          <w:sz w:val="24"/>
          <w:szCs w:val="24"/>
        </w:rPr>
        <w:t>esponse</w:t>
      </w:r>
      <w:r w:rsidR="00060FC1" w:rsidRPr="00CF634B">
        <w:rPr>
          <w:rFonts w:asciiTheme="minorHAnsi" w:hAnsiTheme="minorHAnsi" w:cs="Arial"/>
          <w:sz w:val="24"/>
          <w:szCs w:val="24"/>
        </w:rPr>
        <w:t xml:space="preserve"> and Board Action</w:t>
      </w:r>
      <w:r w:rsidRPr="00CF634B">
        <w:rPr>
          <w:rFonts w:asciiTheme="minorHAnsi" w:hAnsiTheme="minorHAnsi" w:cs="Arial"/>
          <w:sz w:val="24"/>
          <w:szCs w:val="24"/>
        </w:rPr>
        <w:t xml:space="preserve">: </w:t>
      </w:r>
    </w:p>
    <w:p w14:paraId="5B77B11C" w14:textId="77777777" w:rsidR="00494720" w:rsidRPr="00CF634B" w:rsidRDefault="00494720" w:rsidP="000868B4">
      <w:pPr>
        <w:rPr>
          <w:rFonts w:asciiTheme="minorHAnsi" w:hAnsiTheme="minorHAnsi" w:cs="Arial"/>
          <w:sz w:val="24"/>
          <w:szCs w:val="24"/>
        </w:rPr>
      </w:pPr>
    </w:p>
    <w:p w14:paraId="47C56B0D" w14:textId="064AFE6B" w:rsidR="00907590" w:rsidRPr="002D17BA" w:rsidRDefault="002073F4" w:rsidP="002D17BA">
      <w:pPr>
        <w:pStyle w:val="ListParagraph"/>
        <w:numPr>
          <w:ilvl w:val="0"/>
          <w:numId w:val="47"/>
        </w:numPr>
        <w:rPr>
          <w:rFonts w:asciiTheme="minorHAnsi" w:hAnsiTheme="minorHAnsi" w:cs="Arial"/>
          <w:b/>
          <w:sz w:val="28"/>
          <w:szCs w:val="28"/>
        </w:rPr>
      </w:pPr>
      <w:r w:rsidRPr="002D17BA">
        <w:rPr>
          <w:rFonts w:asciiTheme="minorHAnsi" w:hAnsiTheme="minorHAnsi" w:cs="Arial"/>
          <w:b/>
          <w:sz w:val="28"/>
          <w:szCs w:val="28"/>
        </w:rPr>
        <w:t xml:space="preserve">Pharmaceutical Care Management </w:t>
      </w:r>
      <w:r w:rsidR="005C3FE3" w:rsidRPr="002D17BA">
        <w:rPr>
          <w:rFonts w:asciiTheme="minorHAnsi" w:hAnsiTheme="minorHAnsi" w:cs="Arial"/>
          <w:b/>
          <w:sz w:val="28"/>
          <w:szCs w:val="28"/>
        </w:rPr>
        <w:t xml:space="preserve">Association </w:t>
      </w:r>
      <w:r w:rsidR="00A15C41" w:rsidRPr="002D17BA">
        <w:rPr>
          <w:rFonts w:asciiTheme="minorHAnsi" w:hAnsiTheme="minorHAnsi" w:cs="Arial"/>
          <w:b/>
          <w:sz w:val="28"/>
          <w:szCs w:val="28"/>
        </w:rPr>
        <w:t>submitted</w:t>
      </w:r>
      <w:r w:rsidRPr="002D17BA">
        <w:rPr>
          <w:rFonts w:asciiTheme="minorHAnsi" w:hAnsiTheme="minorHAnsi" w:cs="Arial"/>
          <w:b/>
          <w:sz w:val="28"/>
          <w:szCs w:val="28"/>
        </w:rPr>
        <w:t xml:space="preserve"> the following comments:</w:t>
      </w:r>
    </w:p>
    <w:p w14:paraId="72154A0F" w14:textId="7C0CCD67" w:rsidR="005D046E" w:rsidRPr="00CF634B" w:rsidRDefault="008A561B" w:rsidP="00B42ED6">
      <w:pPr>
        <w:rPr>
          <w:rFonts w:asciiTheme="minorHAnsi" w:hAnsiTheme="minorHAnsi" w:cs="Arial"/>
          <w:sz w:val="24"/>
          <w:szCs w:val="24"/>
        </w:rPr>
      </w:pPr>
      <w:r w:rsidRPr="00CF634B">
        <w:rPr>
          <w:rFonts w:asciiTheme="minorHAnsi" w:hAnsiTheme="minorHAnsi" w:cs="Arial"/>
          <w:b/>
          <w:sz w:val="24"/>
          <w:szCs w:val="24"/>
        </w:rPr>
        <w:t xml:space="preserve">Comment </w:t>
      </w:r>
      <w:r w:rsidR="00A15C41" w:rsidRPr="00CF634B">
        <w:rPr>
          <w:rFonts w:asciiTheme="minorHAnsi" w:hAnsiTheme="minorHAnsi" w:cs="Arial"/>
          <w:b/>
          <w:sz w:val="24"/>
          <w:szCs w:val="24"/>
        </w:rPr>
        <w:t>-</w:t>
      </w:r>
      <w:r w:rsidR="00440BDE" w:rsidRPr="00CF634B">
        <w:rPr>
          <w:rFonts w:asciiTheme="minorHAnsi" w:hAnsiTheme="minorHAnsi" w:cs="Arial"/>
          <w:b/>
          <w:sz w:val="24"/>
          <w:szCs w:val="24"/>
        </w:rPr>
        <w:t>Statute applicability to PBM’s</w:t>
      </w:r>
    </w:p>
    <w:p w14:paraId="368F1A4E" w14:textId="6AFFCAD5" w:rsidR="00E5428E" w:rsidRPr="00CF634B" w:rsidRDefault="00E5428E" w:rsidP="00B42ED6">
      <w:pPr>
        <w:rPr>
          <w:rFonts w:asciiTheme="minorHAnsi" w:hAnsiTheme="minorHAnsi" w:cs="Arial"/>
          <w:sz w:val="24"/>
          <w:szCs w:val="24"/>
        </w:rPr>
      </w:pPr>
      <w:r w:rsidRPr="00CF634B">
        <w:rPr>
          <w:rFonts w:asciiTheme="minorHAnsi" w:hAnsiTheme="minorHAnsi" w:cs="Arial"/>
          <w:sz w:val="24"/>
          <w:szCs w:val="24"/>
        </w:rPr>
        <w:t xml:space="preserve">LD 1162 requires certain entities to, upon request, report to MHDO specified data related to making a prescription drug available to consumers. PBMs, as subcontractors to health insurance carriers administering prescription drug coverage, do not take any physical control over drugs that are provided to patients, unlike manufacturers and wholesale distributors. PBMs do not set prices for pharmaceutical products. Manufacturers, wholesalers, and pharmacies are the only entities in the supply chain that control the physical supply of drugs and affect the actual prices of the products. Thus, it is unclear whether this statute </w:t>
      </w:r>
      <w:proofErr w:type="gramStart"/>
      <w:r w:rsidRPr="00CF634B">
        <w:rPr>
          <w:rFonts w:asciiTheme="minorHAnsi" w:hAnsiTheme="minorHAnsi" w:cs="Arial"/>
          <w:sz w:val="24"/>
          <w:szCs w:val="24"/>
        </w:rPr>
        <w:t>actually applies</w:t>
      </w:r>
      <w:proofErr w:type="gramEnd"/>
      <w:r w:rsidRPr="00CF634B">
        <w:rPr>
          <w:rFonts w:asciiTheme="minorHAnsi" w:hAnsiTheme="minorHAnsi" w:cs="Arial"/>
          <w:sz w:val="24"/>
          <w:szCs w:val="24"/>
        </w:rPr>
        <w:t xml:space="preserve"> to the administrative functions of PBMs.</w:t>
      </w:r>
    </w:p>
    <w:p w14:paraId="2F694B30" w14:textId="77777777" w:rsidR="007C4960" w:rsidRPr="00CF634B" w:rsidRDefault="007C4960" w:rsidP="00B42ED6">
      <w:pPr>
        <w:rPr>
          <w:rFonts w:asciiTheme="minorHAnsi" w:hAnsiTheme="minorHAnsi" w:cs="Arial"/>
          <w:sz w:val="24"/>
          <w:szCs w:val="24"/>
        </w:rPr>
      </w:pPr>
    </w:p>
    <w:p w14:paraId="25867D1C" w14:textId="6DD61FAC" w:rsidR="008E23F1" w:rsidRPr="00CF634B" w:rsidRDefault="00E5428E" w:rsidP="00CB6CD2">
      <w:pPr>
        <w:autoSpaceDE w:val="0"/>
        <w:autoSpaceDN w:val="0"/>
        <w:adjustRightInd w:val="0"/>
        <w:rPr>
          <w:rFonts w:asciiTheme="minorHAnsi" w:hAnsiTheme="minorHAnsi" w:cs="TimesNewRomanPSMT"/>
          <w:sz w:val="24"/>
          <w:szCs w:val="24"/>
        </w:rPr>
      </w:pPr>
      <w:r w:rsidRPr="00CF634B">
        <w:rPr>
          <w:rFonts w:asciiTheme="minorHAnsi" w:hAnsiTheme="minorHAnsi" w:cs="Arial"/>
          <w:b/>
          <w:sz w:val="24"/>
          <w:szCs w:val="24"/>
        </w:rPr>
        <w:t xml:space="preserve">MHDO </w:t>
      </w:r>
      <w:r w:rsidR="00023874" w:rsidRPr="00CF634B">
        <w:rPr>
          <w:rFonts w:asciiTheme="minorHAnsi" w:hAnsiTheme="minorHAnsi" w:cs="Arial"/>
          <w:b/>
          <w:sz w:val="24"/>
          <w:szCs w:val="24"/>
        </w:rPr>
        <w:t xml:space="preserve">Staff </w:t>
      </w:r>
      <w:r w:rsidRPr="00CF634B">
        <w:rPr>
          <w:rFonts w:asciiTheme="minorHAnsi" w:hAnsiTheme="minorHAnsi" w:cs="Arial"/>
          <w:b/>
          <w:sz w:val="24"/>
          <w:szCs w:val="24"/>
        </w:rPr>
        <w:t>Response</w:t>
      </w:r>
      <w:r w:rsidR="007C4960" w:rsidRPr="00CF634B">
        <w:rPr>
          <w:rFonts w:asciiTheme="minorHAnsi" w:hAnsiTheme="minorHAnsi" w:cs="Arial"/>
          <w:b/>
          <w:sz w:val="24"/>
          <w:szCs w:val="24"/>
        </w:rPr>
        <w:t xml:space="preserve">:  </w:t>
      </w:r>
      <w:r w:rsidR="001B587C" w:rsidRPr="00CD196E">
        <w:rPr>
          <w:rFonts w:asciiTheme="minorHAnsi" w:hAnsiTheme="minorHAnsi" w:cs="Arial"/>
          <w:sz w:val="24"/>
          <w:szCs w:val="24"/>
        </w:rPr>
        <w:t xml:space="preserve">Public Law Chapter </w:t>
      </w:r>
      <w:r w:rsidR="00CD196E" w:rsidRPr="00CD196E">
        <w:rPr>
          <w:rFonts w:asciiTheme="minorHAnsi" w:hAnsiTheme="minorHAnsi" w:cs="Arial"/>
          <w:sz w:val="24"/>
          <w:szCs w:val="24"/>
        </w:rPr>
        <w:t xml:space="preserve">470, </w:t>
      </w:r>
      <w:r w:rsidR="002D17BA">
        <w:rPr>
          <w:rFonts w:asciiTheme="minorHAnsi" w:hAnsiTheme="minorHAnsi" w:cs="Arial"/>
          <w:sz w:val="24"/>
          <w:szCs w:val="24"/>
        </w:rPr>
        <w:t>“</w:t>
      </w:r>
      <w:r w:rsidR="00CB6CD2" w:rsidRPr="00CD196E">
        <w:rPr>
          <w:rFonts w:asciiTheme="minorHAnsi" w:hAnsiTheme="minorHAnsi" w:cs="Arial"/>
          <w:sz w:val="24"/>
          <w:szCs w:val="24"/>
        </w:rPr>
        <w:t xml:space="preserve">An Act </w:t>
      </w:r>
      <w:proofErr w:type="gramStart"/>
      <w:r w:rsidR="00CB6CD2" w:rsidRPr="00CD196E">
        <w:rPr>
          <w:rFonts w:asciiTheme="minorHAnsi" w:hAnsiTheme="minorHAnsi" w:cs="Arial"/>
          <w:sz w:val="24"/>
          <w:szCs w:val="24"/>
        </w:rPr>
        <w:t>To</w:t>
      </w:r>
      <w:proofErr w:type="gramEnd"/>
      <w:r w:rsidR="00CB6CD2" w:rsidRPr="00CD196E">
        <w:rPr>
          <w:rFonts w:asciiTheme="minorHAnsi" w:hAnsiTheme="minorHAnsi" w:cs="Arial"/>
          <w:sz w:val="24"/>
          <w:szCs w:val="24"/>
        </w:rPr>
        <w:t xml:space="preserve"> Further Expand</w:t>
      </w:r>
      <w:r w:rsidR="001B587C" w:rsidRPr="00CD196E">
        <w:rPr>
          <w:rFonts w:asciiTheme="minorHAnsi" w:hAnsiTheme="minorHAnsi" w:cs="Arial"/>
          <w:sz w:val="24"/>
          <w:szCs w:val="24"/>
        </w:rPr>
        <w:t xml:space="preserve"> Drug Price Transparency</w:t>
      </w:r>
      <w:r w:rsidR="002D17BA">
        <w:rPr>
          <w:rFonts w:asciiTheme="minorHAnsi" w:hAnsiTheme="minorHAnsi" w:cs="Arial"/>
          <w:sz w:val="24"/>
          <w:szCs w:val="24"/>
        </w:rPr>
        <w:t>”</w:t>
      </w:r>
      <w:r w:rsidR="001B587C" w:rsidRPr="00CD196E">
        <w:rPr>
          <w:rFonts w:asciiTheme="minorHAnsi" w:hAnsiTheme="minorHAnsi" w:cs="Arial"/>
          <w:sz w:val="24"/>
          <w:szCs w:val="24"/>
        </w:rPr>
        <w:t>, identifies in</w:t>
      </w:r>
      <w:r w:rsidR="00CB6CD2" w:rsidRPr="00CD196E">
        <w:rPr>
          <w:rFonts w:asciiTheme="minorHAnsi" w:hAnsiTheme="minorHAnsi" w:cs="Arial"/>
          <w:sz w:val="24"/>
          <w:szCs w:val="24"/>
        </w:rPr>
        <w:t xml:space="preserve"> </w:t>
      </w:r>
      <w:r w:rsidR="00CB6CD2" w:rsidRPr="00CD196E">
        <w:rPr>
          <w:rFonts w:asciiTheme="minorHAnsi" w:hAnsiTheme="minorHAnsi" w:cs="TimesNewRomanPS-BoldMT"/>
          <w:bCs/>
          <w:sz w:val="24"/>
          <w:szCs w:val="24"/>
        </w:rPr>
        <w:t xml:space="preserve">§8732. </w:t>
      </w:r>
      <w:r w:rsidR="00CB6CD2" w:rsidRPr="00CD196E">
        <w:rPr>
          <w:rFonts w:asciiTheme="minorHAnsi" w:hAnsiTheme="minorHAnsi" w:cs="TimesNewRomanPS-BoldMT"/>
          <w:bCs/>
          <w:i/>
          <w:sz w:val="24"/>
          <w:szCs w:val="24"/>
        </w:rPr>
        <w:t>Drug price notifications and disclosures,</w:t>
      </w:r>
      <w:r w:rsidR="001B587C" w:rsidRPr="00CD196E">
        <w:rPr>
          <w:rFonts w:asciiTheme="minorHAnsi" w:hAnsiTheme="minorHAnsi" w:cs="TimesNewRomanPS-BoldMT"/>
          <w:bCs/>
          <w:i/>
          <w:sz w:val="24"/>
          <w:szCs w:val="24"/>
        </w:rPr>
        <w:t xml:space="preserve"> those entities that are impacted by this new mandate which include </w:t>
      </w:r>
      <w:r w:rsidR="00CB6CD2" w:rsidRPr="00CD196E">
        <w:rPr>
          <w:rFonts w:asciiTheme="minorHAnsi" w:hAnsiTheme="minorHAnsi" w:cs="TimesNewRomanPS-BoldMT"/>
          <w:bCs/>
          <w:i/>
          <w:sz w:val="24"/>
          <w:szCs w:val="24"/>
        </w:rPr>
        <w:t xml:space="preserve">manufacturers, wholesale drug distributors and pharmacy benefit managers.  In addition, in </w:t>
      </w:r>
      <w:r w:rsidR="00CB6CD2" w:rsidRPr="00CD196E">
        <w:rPr>
          <w:rFonts w:asciiTheme="minorHAnsi" w:hAnsiTheme="minorHAnsi" w:cs="TimesNewRomanPS-BoldMT"/>
          <w:bCs/>
          <w:sz w:val="24"/>
          <w:szCs w:val="24"/>
        </w:rPr>
        <w:t xml:space="preserve">§8736. </w:t>
      </w:r>
      <w:r w:rsidR="00CB6CD2" w:rsidRPr="00CD196E">
        <w:rPr>
          <w:rFonts w:asciiTheme="minorHAnsi" w:hAnsiTheme="minorHAnsi" w:cs="TimesNewRomanPS-BoldMT"/>
          <w:bCs/>
          <w:i/>
          <w:sz w:val="24"/>
          <w:szCs w:val="24"/>
        </w:rPr>
        <w:t xml:space="preserve">Public report, MHDO is required to produce an annual report that includes information developed from the notifications and disclosures as defined in </w:t>
      </w:r>
      <w:r w:rsidR="00CB6CD2" w:rsidRPr="00CD196E">
        <w:rPr>
          <w:rFonts w:asciiTheme="minorHAnsi" w:hAnsiTheme="minorHAnsi" w:cs="TimesNewRomanPS-BoldMT"/>
          <w:bCs/>
          <w:sz w:val="24"/>
          <w:szCs w:val="24"/>
        </w:rPr>
        <w:t xml:space="preserve">§8732 </w:t>
      </w:r>
      <w:r w:rsidR="00CB6CD2" w:rsidRPr="00CD196E">
        <w:rPr>
          <w:rFonts w:asciiTheme="minorHAnsi" w:hAnsiTheme="minorHAnsi" w:cs="TimesNewRomanPSMT"/>
          <w:sz w:val="24"/>
          <w:szCs w:val="24"/>
        </w:rPr>
        <w:t xml:space="preserve">on </w:t>
      </w:r>
      <w:r w:rsidR="00CB6CD2" w:rsidRPr="00CF634B">
        <w:rPr>
          <w:rFonts w:asciiTheme="minorHAnsi" w:hAnsiTheme="minorHAnsi" w:cs="TimesNewRomanPSMT"/>
          <w:sz w:val="24"/>
          <w:szCs w:val="24"/>
        </w:rPr>
        <w:t>trends in the cost of prescription drugs, analysis of manufacturer prices and price increases</w:t>
      </w:r>
      <w:r w:rsidR="002D17BA">
        <w:rPr>
          <w:rFonts w:asciiTheme="minorHAnsi" w:hAnsiTheme="minorHAnsi" w:cs="TimesNewRomanPSMT"/>
          <w:sz w:val="24"/>
          <w:szCs w:val="24"/>
        </w:rPr>
        <w:t>. T</w:t>
      </w:r>
      <w:r w:rsidR="00CB6CD2" w:rsidRPr="00CF634B">
        <w:rPr>
          <w:rFonts w:asciiTheme="minorHAnsi" w:hAnsiTheme="minorHAnsi" w:cs="TimesNewRomanPSMT"/>
          <w:sz w:val="24"/>
          <w:szCs w:val="24"/>
        </w:rPr>
        <w:t xml:space="preserve">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w:t>
      </w:r>
    </w:p>
    <w:p w14:paraId="336531B7" w14:textId="77777777" w:rsidR="007C4960" w:rsidRPr="00CF634B" w:rsidRDefault="007C4960" w:rsidP="00B42ED6">
      <w:pPr>
        <w:rPr>
          <w:rFonts w:asciiTheme="minorHAnsi" w:hAnsiTheme="minorHAnsi" w:cs="Arial"/>
          <w:b/>
          <w:sz w:val="24"/>
          <w:szCs w:val="24"/>
        </w:rPr>
      </w:pPr>
    </w:p>
    <w:p w14:paraId="6AA26614" w14:textId="73F7F5CD" w:rsidR="00E5428E" w:rsidRPr="00CF634B" w:rsidRDefault="00023874" w:rsidP="00B42ED6">
      <w:pPr>
        <w:rPr>
          <w:rFonts w:asciiTheme="minorHAnsi" w:hAnsiTheme="minorHAnsi" w:cs="Arial"/>
          <w:sz w:val="24"/>
          <w:szCs w:val="24"/>
        </w:rPr>
      </w:pPr>
      <w:r w:rsidRPr="00CF634B">
        <w:rPr>
          <w:rFonts w:asciiTheme="minorHAnsi" w:hAnsiTheme="minorHAnsi" w:cs="Arial"/>
          <w:b/>
          <w:sz w:val="24"/>
          <w:szCs w:val="24"/>
        </w:rPr>
        <w:t xml:space="preserve">Recommended </w:t>
      </w:r>
      <w:r w:rsidR="00E5428E" w:rsidRPr="00CF634B">
        <w:rPr>
          <w:rFonts w:asciiTheme="minorHAnsi" w:hAnsiTheme="minorHAnsi" w:cs="Arial"/>
          <w:b/>
          <w:sz w:val="24"/>
          <w:szCs w:val="24"/>
        </w:rPr>
        <w:t xml:space="preserve">Board Action:  </w:t>
      </w:r>
      <w:r w:rsidR="00CB6CD2" w:rsidRPr="00CD196E">
        <w:rPr>
          <w:rFonts w:asciiTheme="minorHAnsi" w:hAnsiTheme="minorHAnsi" w:cs="Arial"/>
          <w:sz w:val="24"/>
          <w:szCs w:val="24"/>
        </w:rPr>
        <w:t>No further action required.</w:t>
      </w:r>
    </w:p>
    <w:p w14:paraId="2AF0F848" w14:textId="77777777" w:rsidR="00E5428E" w:rsidRPr="00CF634B" w:rsidRDefault="00E5428E" w:rsidP="00E5428E">
      <w:pPr>
        <w:spacing w:before="1"/>
        <w:rPr>
          <w:rFonts w:asciiTheme="minorHAnsi" w:eastAsia="Arial" w:hAnsiTheme="minorHAnsi" w:cs="Arial"/>
          <w:sz w:val="24"/>
          <w:szCs w:val="24"/>
        </w:rPr>
      </w:pPr>
    </w:p>
    <w:p w14:paraId="5AB20F0E" w14:textId="4D052E1E" w:rsidR="005D046E" w:rsidRPr="00CF634B" w:rsidRDefault="00B42ED6" w:rsidP="007C4960">
      <w:pPr>
        <w:rPr>
          <w:rFonts w:asciiTheme="minorHAnsi" w:hAnsiTheme="minorHAnsi" w:cs="Arial"/>
          <w:sz w:val="24"/>
          <w:szCs w:val="24"/>
        </w:rPr>
      </w:pPr>
      <w:r w:rsidRPr="00CF634B">
        <w:rPr>
          <w:rFonts w:asciiTheme="minorHAnsi" w:hAnsiTheme="minorHAnsi" w:cs="Arial"/>
          <w:b/>
          <w:sz w:val="24"/>
          <w:szCs w:val="24"/>
        </w:rPr>
        <w:t xml:space="preserve">Comment </w:t>
      </w:r>
      <w:r w:rsidR="00A15C41" w:rsidRPr="00CF634B">
        <w:rPr>
          <w:rFonts w:asciiTheme="minorHAnsi" w:hAnsiTheme="minorHAnsi" w:cs="Arial"/>
          <w:b/>
          <w:sz w:val="24"/>
          <w:szCs w:val="24"/>
        </w:rPr>
        <w:t>-</w:t>
      </w:r>
      <w:r w:rsidR="00806FDE">
        <w:rPr>
          <w:rFonts w:asciiTheme="minorHAnsi" w:hAnsiTheme="minorHAnsi" w:cs="Arial"/>
          <w:b/>
          <w:sz w:val="24"/>
          <w:szCs w:val="24"/>
        </w:rPr>
        <w:t xml:space="preserve"> </w:t>
      </w:r>
      <w:r w:rsidR="00440BDE" w:rsidRPr="00CF634B">
        <w:rPr>
          <w:rFonts w:asciiTheme="minorHAnsi" w:hAnsiTheme="minorHAnsi" w:cs="Arial"/>
          <w:b/>
          <w:sz w:val="24"/>
          <w:szCs w:val="24"/>
        </w:rPr>
        <w:t>Data volume is cost prohibitive</w:t>
      </w:r>
    </w:p>
    <w:p w14:paraId="44A08093" w14:textId="0CF629E6" w:rsidR="007C4960" w:rsidRPr="00CF634B" w:rsidRDefault="00E5428E" w:rsidP="007C4960">
      <w:pPr>
        <w:rPr>
          <w:rFonts w:asciiTheme="minorHAnsi" w:hAnsiTheme="minorHAnsi" w:cs="Arial"/>
          <w:sz w:val="24"/>
          <w:szCs w:val="24"/>
        </w:rPr>
      </w:pPr>
      <w:r w:rsidRPr="00CF634B">
        <w:rPr>
          <w:rFonts w:asciiTheme="minorHAnsi" w:hAnsiTheme="minorHAnsi" w:cs="Arial"/>
          <w:sz w:val="24"/>
          <w:szCs w:val="24"/>
        </w:rPr>
        <w:t>The data request does not make practical sense given how PBMs operate as administrators of the benefit on behalf of carriers. Drug manufacturers develop and/or manufacture a limited number of drugs, so their reporting would be somewhat limited. A single PBM could process claims for millions of drugs each month, and there are over a hundred thousand active National Drug Codes (NDCs). The amount of data that this rule seeks to be reported is cost prohibitive for the PBM to provide and likely, for MHDO to process. In addition, it is unclear what value this massive amount of information provides to the state.</w:t>
      </w:r>
      <w:r w:rsidR="007C4960" w:rsidRPr="00CF634B">
        <w:rPr>
          <w:rFonts w:asciiTheme="minorHAnsi" w:hAnsiTheme="minorHAnsi" w:cs="Arial"/>
          <w:sz w:val="24"/>
          <w:szCs w:val="24"/>
        </w:rPr>
        <w:t xml:space="preserve"> </w:t>
      </w:r>
    </w:p>
    <w:p w14:paraId="7732DB90" w14:textId="77777777" w:rsidR="008C14CA" w:rsidRPr="00CF634B" w:rsidRDefault="008C14CA" w:rsidP="007C4960">
      <w:pPr>
        <w:rPr>
          <w:rFonts w:asciiTheme="minorHAnsi" w:hAnsiTheme="minorHAnsi" w:cs="Arial"/>
          <w:b/>
          <w:sz w:val="24"/>
          <w:szCs w:val="24"/>
        </w:rPr>
      </w:pPr>
    </w:p>
    <w:p w14:paraId="5C7152DB" w14:textId="3E2601EB" w:rsidR="007C4960" w:rsidRPr="00CF634B" w:rsidRDefault="007C4960" w:rsidP="00F47794">
      <w:pPr>
        <w:autoSpaceDE w:val="0"/>
        <w:autoSpaceDN w:val="0"/>
        <w:adjustRightInd w:val="0"/>
        <w:rPr>
          <w:rFonts w:asciiTheme="minorHAnsi" w:hAnsiTheme="minorHAnsi" w:cs="TimesNewRomanPSMT"/>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  </w:t>
      </w:r>
      <w:r w:rsidR="001B587C" w:rsidRPr="008D7AD2">
        <w:rPr>
          <w:rFonts w:asciiTheme="minorHAnsi" w:hAnsiTheme="minorHAnsi"/>
          <w:sz w:val="24"/>
          <w:szCs w:val="24"/>
        </w:rPr>
        <w:t xml:space="preserve">It is MHDO’s intent to </w:t>
      </w:r>
      <w:r w:rsidR="00035F80" w:rsidRPr="008D7AD2">
        <w:rPr>
          <w:rFonts w:asciiTheme="minorHAnsi" w:hAnsiTheme="minorHAnsi"/>
          <w:sz w:val="24"/>
          <w:szCs w:val="24"/>
        </w:rPr>
        <w:t>focus</w:t>
      </w:r>
      <w:r w:rsidR="001B587C" w:rsidRPr="008D7AD2">
        <w:rPr>
          <w:rFonts w:asciiTheme="minorHAnsi" w:hAnsiTheme="minorHAnsi"/>
          <w:sz w:val="24"/>
          <w:szCs w:val="24"/>
        </w:rPr>
        <w:t xml:space="preserve"> the reporting by wholesale distributors and pharmacy benefit managers to the</w:t>
      </w:r>
      <w:r w:rsidR="001B587C" w:rsidRPr="00F47794">
        <w:rPr>
          <w:rFonts w:asciiTheme="minorHAnsi" w:hAnsiTheme="minorHAnsi"/>
          <w:sz w:val="24"/>
          <w:szCs w:val="24"/>
        </w:rPr>
        <w:t xml:space="preserve"> top 25 most costly, most utilized and with the highest year over year increases as identified in the MHDO’s annual pharmacy report as required in </w:t>
      </w:r>
      <w:r w:rsidR="00035F80" w:rsidRPr="008D7AD2">
        <w:rPr>
          <w:rFonts w:asciiTheme="minorHAnsi" w:hAnsiTheme="minorHAnsi"/>
          <w:sz w:val="24"/>
          <w:szCs w:val="24"/>
        </w:rPr>
        <w:t>§8712</w:t>
      </w:r>
      <w:r w:rsidR="002D17BA">
        <w:rPr>
          <w:rFonts w:asciiTheme="minorHAnsi" w:hAnsiTheme="minorHAnsi"/>
          <w:sz w:val="24"/>
          <w:szCs w:val="24"/>
        </w:rPr>
        <w:t>(</w:t>
      </w:r>
      <w:r w:rsidR="00035F80" w:rsidRPr="00CF634B">
        <w:rPr>
          <w:rFonts w:asciiTheme="minorHAnsi" w:hAnsiTheme="minorHAnsi"/>
          <w:sz w:val="24"/>
          <w:szCs w:val="24"/>
        </w:rPr>
        <w:t>5</w:t>
      </w:r>
      <w:r w:rsidR="002D17BA">
        <w:rPr>
          <w:rFonts w:asciiTheme="minorHAnsi" w:hAnsiTheme="minorHAnsi"/>
          <w:sz w:val="24"/>
          <w:szCs w:val="24"/>
        </w:rPr>
        <w:t>)</w:t>
      </w:r>
      <w:r w:rsidR="006B5B1C" w:rsidRPr="00CF634B">
        <w:rPr>
          <w:rFonts w:asciiTheme="minorHAnsi" w:hAnsiTheme="minorHAnsi"/>
          <w:sz w:val="24"/>
          <w:szCs w:val="24"/>
        </w:rPr>
        <w:t xml:space="preserve"> </w:t>
      </w:r>
      <w:r w:rsidR="00035F80" w:rsidRPr="00CF634B">
        <w:rPr>
          <w:rFonts w:asciiTheme="minorHAnsi" w:hAnsiTheme="minorHAnsi"/>
          <w:sz w:val="24"/>
          <w:szCs w:val="24"/>
        </w:rPr>
        <w:t xml:space="preserve">Prescription drug information. </w:t>
      </w:r>
      <w:r w:rsidR="00035F80" w:rsidRPr="00AE4F3A">
        <w:rPr>
          <w:rFonts w:asciiTheme="minorHAnsi" w:hAnsiTheme="minorHAnsi"/>
          <w:i/>
          <w:sz w:val="24"/>
          <w:szCs w:val="24"/>
        </w:rPr>
        <w:t>The organization shall provide a report containing the following information about prescription drugs, both brand name and generic: A. The 25 most frequently prescribed drugs in the State; B. The 25 costliest drugs as determined by the total amount spent on those drugs in the State; and C. The 25 drugs with the highest year-over-year cost increases as determined by the total amount spent on those drugs in the State.</w:t>
      </w:r>
      <w:r w:rsidR="00035F80" w:rsidRPr="00CF634B">
        <w:rPr>
          <w:rFonts w:asciiTheme="minorHAnsi" w:hAnsiTheme="minorHAnsi"/>
          <w:sz w:val="24"/>
          <w:szCs w:val="24"/>
        </w:rPr>
        <w:t xml:space="preserve">  </w:t>
      </w:r>
      <w:r w:rsidR="009D17B1">
        <w:rPr>
          <w:rFonts w:asciiTheme="minorHAnsi" w:hAnsiTheme="minorHAnsi"/>
          <w:sz w:val="24"/>
          <w:szCs w:val="24"/>
        </w:rPr>
        <w:t>T</w:t>
      </w:r>
      <w:r w:rsidR="00035F80" w:rsidRPr="00CF634B">
        <w:rPr>
          <w:rFonts w:asciiTheme="minorHAnsi" w:hAnsiTheme="minorHAnsi"/>
          <w:sz w:val="24"/>
          <w:szCs w:val="24"/>
        </w:rPr>
        <w:t xml:space="preserve">o minimize the administrative aspect of reporting data to the MHDO, the MHDO has proposed the adoption of a subset of the data elements defined in the National Academy for State Health Policy’s Pharmacy Benefit Managers reporting template.  </w:t>
      </w:r>
    </w:p>
    <w:p w14:paraId="02847208" w14:textId="77777777" w:rsidR="007C4960" w:rsidRPr="00CF634B" w:rsidRDefault="007C4960" w:rsidP="007C4960">
      <w:pPr>
        <w:rPr>
          <w:rFonts w:asciiTheme="minorHAnsi" w:hAnsiTheme="minorHAnsi" w:cs="Arial"/>
          <w:b/>
          <w:sz w:val="24"/>
          <w:szCs w:val="24"/>
        </w:rPr>
      </w:pPr>
    </w:p>
    <w:p w14:paraId="2E17418C" w14:textId="6B8FB49C" w:rsidR="007C4960" w:rsidRPr="00CF634B" w:rsidRDefault="00023874" w:rsidP="007C4960">
      <w:pPr>
        <w:rPr>
          <w:rFonts w:asciiTheme="minorHAnsi" w:hAnsiTheme="minorHAnsi" w:cs="Arial"/>
          <w:sz w:val="24"/>
          <w:szCs w:val="24"/>
        </w:rPr>
      </w:pPr>
      <w:r w:rsidRPr="00CF634B">
        <w:rPr>
          <w:rFonts w:asciiTheme="minorHAnsi" w:hAnsiTheme="minorHAnsi" w:cs="Arial"/>
          <w:b/>
          <w:sz w:val="24"/>
          <w:szCs w:val="24"/>
        </w:rPr>
        <w:t xml:space="preserve">Recommended </w:t>
      </w:r>
      <w:r w:rsidR="007C4960" w:rsidRPr="00CF634B">
        <w:rPr>
          <w:rFonts w:asciiTheme="minorHAnsi" w:hAnsiTheme="minorHAnsi" w:cs="Arial"/>
          <w:b/>
          <w:sz w:val="24"/>
          <w:szCs w:val="24"/>
        </w:rPr>
        <w:t xml:space="preserve">Board Action:  </w:t>
      </w:r>
      <w:r w:rsidR="00035F80" w:rsidRPr="00CD196E">
        <w:rPr>
          <w:rFonts w:asciiTheme="minorHAnsi" w:hAnsiTheme="minorHAnsi" w:cs="Arial"/>
          <w:sz w:val="24"/>
          <w:szCs w:val="24"/>
        </w:rPr>
        <w:t>No further action required</w:t>
      </w:r>
      <w:r w:rsidR="00CD196E" w:rsidRPr="00CD196E">
        <w:rPr>
          <w:rFonts w:asciiTheme="minorHAnsi" w:hAnsiTheme="minorHAnsi" w:cs="Arial"/>
          <w:sz w:val="24"/>
          <w:szCs w:val="24"/>
        </w:rPr>
        <w:t>.</w:t>
      </w:r>
    </w:p>
    <w:p w14:paraId="4D3A6AE2" w14:textId="77777777" w:rsidR="007C4960" w:rsidRPr="00CF634B" w:rsidRDefault="007C4960" w:rsidP="007C4960">
      <w:pPr>
        <w:spacing w:before="1"/>
        <w:rPr>
          <w:rFonts w:asciiTheme="minorHAnsi" w:eastAsia="Arial" w:hAnsiTheme="minorHAnsi" w:cs="Arial"/>
          <w:sz w:val="24"/>
          <w:szCs w:val="24"/>
        </w:rPr>
      </w:pPr>
    </w:p>
    <w:p w14:paraId="4F530175" w14:textId="0C16649E" w:rsidR="00875D70" w:rsidRPr="00CF634B" w:rsidRDefault="00A15C41" w:rsidP="00875D70">
      <w:pPr>
        <w:autoSpaceDE w:val="0"/>
        <w:autoSpaceDN w:val="0"/>
        <w:adjustRightInd w:val="0"/>
        <w:rPr>
          <w:rFonts w:asciiTheme="minorHAnsi" w:hAnsiTheme="minorHAnsi" w:cstheme="minorHAnsi"/>
          <w:b/>
          <w:sz w:val="24"/>
          <w:szCs w:val="24"/>
        </w:rPr>
      </w:pPr>
      <w:r w:rsidRPr="00CF634B">
        <w:rPr>
          <w:rFonts w:asciiTheme="minorHAnsi" w:hAnsiTheme="minorHAnsi" w:cs="Arial"/>
          <w:b/>
          <w:sz w:val="24"/>
          <w:szCs w:val="24"/>
        </w:rPr>
        <w:t>Comment -</w:t>
      </w:r>
      <w:r w:rsidR="000105AA" w:rsidRPr="00CF634B">
        <w:rPr>
          <w:rFonts w:asciiTheme="minorHAnsi" w:hAnsiTheme="minorHAnsi" w:cs="Arial"/>
          <w:b/>
          <w:sz w:val="24"/>
          <w:szCs w:val="24"/>
        </w:rPr>
        <w:t xml:space="preserve"> </w:t>
      </w:r>
      <w:r w:rsidR="00875D70" w:rsidRPr="00CF634B">
        <w:rPr>
          <w:rFonts w:asciiTheme="minorHAnsi" w:hAnsiTheme="minorHAnsi" w:cstheme="minorHAnsi"/>
          <w:b/>
          <w:sz w:val="24"/>
          <w:szCs w:val="24"/>
        </w:rPr>
        <w:t>Proprietary Nature of Rebate</w:t>
      </w:r>
      <w:r w:rsidR="00E43EEB">
        <w:rPr>
          <w:rFonts w:asciiTheme="minorHAnsi" w:hAnsiTheme="minorHAnsi" w:cstheme="minorHAnsi"/>
          <w:b/>
          <w:sz w:val="24"/>
          <w:szCs w:val="24"/>
        </w:rPr>
        <w:t xml:space="preserve"> and Reimbursement</w:t>
      </w:r>
      <w:r w:rsidR="00875D70" w:rsidRPr="00CF634B">
        <w:rPr>
          <w:rFonts w:asciiTheme="minorHAnsi" w:hAnsiTheme="minorHAnsi" w:cstheme="minorHAnsi"/>
          <w:b/>
          <w:sz w:val="24"/>
          <w:szCs w:val="24"/>
        </w:rPr>
        <w:t xml:space="preserve"> data </w:t>
      </w:r>
      <w:r w:rsidR="00E43EEB">
        <w:rPr>
          <w:rFonts w:asciiTheme="minorHAnsi" w:hAnsiTheme="minorHAnsi" w:cstheme="minorHAnsi"/>
          <w:b/>
          <w:sz w:val="24"/>
          <w:szCs w:val="24"/>
        </w:rPr>
        <w:t xml:space="preserve">and </w:t>
      </w:r>
      <w:r w:rsidR="005F4157">
        <w:rPr>
          <w:rFonts w:asciiTheme="minorHAnsi" w:hAnsiTheme="minorHAnsi" w:cstheme="minorHAnsi"/>
          <w:b/>
          <w:sz w:val="24"/>
          <w:szCs w:val="24"/>
        </w:rPr>
        <w:t>Confidentiality Provisions</w:t>
      </w:r>
    </w:p>
    <w:p w14:paraId="6A9349F9" w14:textId="00A3BC8B" w:rsidR="000105AA" w:rsidRPr="00CF634B" w:rsidRDefault="000105AA" w:rsidP="000105AA">
      <w:pPr>
        <w:rPr>
          <w:rFonts w:asciiTheme="minorHAnsi" w:hAnsiTheme="minorHAnsi" w:cs="Arial"/>
          <w:sz w:val="24"/>
          <w:szCs w:val="24"/>
        </w:rPr>
      </w:pPr>
      <w:bookmarkStart w:id="1" w:name="_Hlk29555779"/>
      <w:r w:rsidRPr="00CF634B">
        <w:rPr>
          <w:rFonts w:asciiTheme="minorHAnsi" w:hAnsiTheme="minorHAnsi" w:cs="Arial"/>
          <w:sz w:val="24"/>
          <w:szCs w:val="24"/>
        </w:rPr>
        <w:t>The proposed rule appears to give MHDO authority to obtain proprietary and/or trade secret information, such as drug specific rebate information and reimbursement amounts to pharmacies. There are significant concerns regarding sharing such sensitive information outside of the business. In the rebate context, in the current marketplace, contract negotiations between PBMs and manufacturers are like sealed-bid auctions: manufacturers are encouraged to offer aggressive price concessions since they don’t know what’s being offered by their competitors. Government agencies—including the Congressional Budget Office (CBO) and the Federal Trade Commission (FTC)—have long cautioned that PBM disclosure mandates could raise costs. The CBO has noted that disclosure requirements could allow firms to “observe the prices charged by their rivals, which could lead to reduced competition.” According to CBO, the “disclosure of rebate data would probably cause the variation in rebates among purchasers to decline” leading to a “compression in rebates.”</w:t>
      </w:r>
      <w:r w:rsidR="00CD196E" w:rsidRPr="00CF634B">
        <w:rPr>
          <w:rFonts w:asciiTheme="minorHAnsi" w:hAnsiTheme="minorHAnsi" w:cs="Arial"/>
          <w:sz w:val="24"/>
          <w:szCs w:val="24"/>
        </w:rPr>
        <w:t xml:space="preserve"> </w:t>
      </w:r>
    </w:p>
    <w:p w14:paraId="39C6CC4E" w14:textId="77777777" w:rsidR="008E23F1" w:rsidRPr="00CF634B" w:rsidRDefault="008E23F1" w:rsidP="000105AA">
      <w:pPr>
        <w:rPr>
          <w:rFonts w:asciiTheme="minorHAnsi" w:hAnsiTheme="minorHAnsi" w:cs="Arial"/>
          <w:sz w:val="24"/>
          <w:szCs w:val="24"/>
        </w:rPr>
      </w:pPr>
    </w:p>
    <w:p w14:paraId="42A0CDAA" w14:textId="714EC976" w:rsidR="007C4960" w:rsidRPr="00CF634B" w:rsidRDefault="000105AA" w:rsidP="007C4960">
      <w:pPr>
        <w:rPr>
          <w:rFonts w:asciiTheme="minorHAnsi" w:hAnsiTheme="minorHAnsi" w:cs="Arial"/>
          <w:sz w:val="24"/>
          <w:szCs w:val="24"/>
        </w:rPr>
      </w:pPr>
      <w:r w:rsidRPr="00CF634B">
        <w:rPr>
          <w:rFonts w:asciiTheme="minorHAnsi" w:hAnsiTheme="minorHAnsi" w:cs="Arial"/>
          <w:sz w:val="24"/>
          <w:szCs w:val="24"/>
        </w:rPr>
        <w:t>Similarly, the FTC has noted concern about rebate transparency and its impact on pricing. The FTC has warned that “whenever competitors know the actual prices charged by other firms, tacit collusion—and thus higher prices—may be more likely." FTC concluded that PBM disclosure mandates could “undermine the ability of some consumers to obtain the pharmaceuticals and health insurance they need at a price they can afford.”</w:t>
      </w:r>
      <w:r w:rsidR="008D7AD2">
        <w:t xml:space="preserve">  </w:t>
      </w:r>
      <w:r w:rsidR="008D7AD2" w:rsidRPr="00CF634B">
        <w:rPr>
          <w:rFonts w:asciiTheme="minorHAnsi" w:hAnsiTheme="minorHAnsi" w:cs="Arial"/>
          <w:sz w:val="24"/>
          <w:szCs w:val="24"/>
        </w:rPr>
        <w:t xml:space="preserve"> </w:t>
      </w:r>
      <w:r w:rsidRPr="00CF634B">
        <w:rPr>
          <w:rFonts w:asciiTheme="minorHAnsi" w:hAnsiTheme="minorHAnsi" w:cs="Arial"/>
          <w:sz w:val="24"/>
          <w:szCs w:val="24"/>
        </w:rPr>
        <w:t xml:space="preserve">Estimates of disclosure mandates from research firm </w:t>
      </w:r>
      <w:proofErr w:type="spellStart"/>
      <w:r w:rsidRPr="00CF634B">
        <w:rPr>
          <w:rFonts w:asciiTheme="minorHAnsi" w:hAnsiTheme="minorHAnsi" w:cs="Arial"/>
          <w:sz w:val="24"/>
          <w:szCs w:val="24"/>
        </w:rPr>
        <w:t>Visante</w:t>
      </w:r>
      <w:proofErr w:type="spellEnd"/>
      <w:r w:rsidRPr="00CF634B">
        <w:rPr>
          <w:rFonts w:asciiTheme="minorHAnsi" w:hAnsiTheme="minorHAnsi" w:cs="Arial"/>
          <w:sz w:val="24"/>
          <w:szCs w:val="24"/>
        </w:rPr>
        <w:t xml:space="preserve"> quantify these potential additional costs at a 4.3% increase over the next ten years, or $228 million just in Maine.  Although there are confidentiality protections built into the proposal, it is unclear whether they would apply, since in the statute those protections seem to focus on patient and provider protections. Additionally, there is broad authority in the proposed rule to allow sharing of information among government agencies, which have different sets of confidentiality rules and rules around exemptions from public disclosure. PCMA is concerned for these reasons, and suggests striking the collection of detailed rebate data and sharing among agencies.</w:t>
      </w:r>
      <w:r w:rsidR="007C4960" w:rsidRPr="00CF634B">
        <w:rPr>
          <w:rFonts w:asciiTheme="minorHAnsi" w:hAnsiTheme="minorHAnsi" w:cs="Arial"/>
          <w:sz w:val="24"/>
          <w:szCs w:val="24"/>
        </w:rPr>
        <w:t xml:space="preserve"> </w:t>
      </w:r>
    </w:p>
    <w:p w14:paraId="1EDE00F1" w14:textId="77777777" w:rsidR="008C14CA" w:rsidRPr="00CF634B" w:rsidRDefault="008C14CA" w:rsidP="007C4960">
      <w:pPr>
        <w:rPr>
          <w:rFonts w:asciiTheme="minorHAnsi" w:hAnsiTheme="minorHAnsi" w:cs="Arial"/>
          <w:b/>
          <w:sz w:val="24"/>
          <w:szCs w:val="24"/>
        </w:rPr>
      </w:pPr>
    </w:p>
    <w:bookmarkEnd w:id="1"/>
    <w:p w14:paraId="2EB786C9" w14:textId="22852208" w:rsidR="00EE740C" w:rsidRPr="00683464" w:rsidRDefault="007C4960" w:rsidP="00EE740C">
      <w:pPr>
        <w:rPr>
          <w:rFonts w:asciiTheme="minorHAnsi" w:hAnsiTheme="minorHAnsi" w:cstheme="minorHAnsi"/>
          <w:color w:val="000000"/>
          <w:sz w:val="24"/>
          <w:szCs w:val="24"/>
        </w:rPr>
      </w:pPr>
      <w:r w:rsidRPr="00806FDE">
        <w:rPr>
          <w:rFonts w:asciiTheme="minorHAnsi" w:hAnsiTheme="minorHAnsi" w:cstheme="minorHAnsi"/>
          <w:b/>
          <w:sz w:val="24"/>
          <w:szCs w:val="24"/>
        </w:rPr>
        <w:t>MHDO</w:t>
      </w:r>
      <w:r w:rsidR="00023874" w:rsidRPr="00806FDE">
        <w:rPr>
          <w:rFonts w:asciiTheme="minorHAnsi" w:hAnsiTheme="minorHAnsi" w:cstheme="minorHAnsi"/>
          <w:b/>
          <w:sz w:val="24"/>
          <w:szCs w:val="24"/>
        </w:rPr>
        <w:t xml:space="preserve"> Staff</w:t>
      </w:r>
      <w:r w:rsidRPr="00806FDE">
        <w:rPr>
          <w:rFonts w:asciiTheme="minorHAnsi" w:hAnsiTheme="minorHAnsi" w:cstheme="minorHAnsi"/>
          <w:b/>
          <w:sz w:val="24"/>
          <w:szCs w:val="24"/>
        </w:rPr>
        <w:t xml:space="preserve"> Response:  </w:t>
      </w:r>
      <w:r w:rsidR="00EE740C" w:rsidRPr="00683464">
        <w:rPr>
          <w:rFonts w:asciiTheme="minorHAnsi" w:hAnsiTheme="minorHAnsi" w:cstheme="minorHAnsi"/>
          <w:color w:val="000000"/>
          <w:sz w:val="24"/>
          <w:szCs w:val="24"/>
        </w:rPr>
        <w:t xml:space="preserve"> Public Law Chapter 470, requires the Maine Health Data Organization to collect prescription drug price data from manufacturers, wholesale drug distributors and pharmacy benefits managers in order to produce an annual report that includes information from these data submissions on trends in the costs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disclose information attributable to any </w:t>
      </w:r>
      <w:r w:rsidR="000502BF" w:rsidRPr="00683464">
        <w:rPr>
          <w:rFonts w:asciiTheme="minorHAnsi" w:hAnsiTheme="minorHAnsi" w:cstheme="minorHAnsi"/>
          <w:color w:val="000000"/>
          <w:sz w:val="24"/>
          <w:szCs w:val="24"/>
        </w:rPr>
        <w:t>manufacturer</w:t>
      </w:r>
      <w:r w:rsidR="00EE740C" w:rsidRPr="00683464">
        <w:rPr>
          <w:rFonts w:asciiTheme="minorHAnsi" w:hAnsiTheme="minorHAnsi" w:cstheme="minorHAnsi"/>
          <w:color w:val="000000"/>
          <w:sz w:val="24"/>
          <w:szCs w:val="24"/>
        </w:rPr>
        <w:t>, wholesale drug distributor or pharmacy benefits manager subject to this subchapter and may not make public any information that is confidential pursuant to section 8733.  Neither Public Law Chapter 470 or MHDO’s proposed rule Chapter 570 provides the MHDO with the broad authority to share the data submitted by manufactures, wholesale drug distributors or pharmacy benefits managers with other government agencies and or the public.  In fact, Public Law Chapter 470 contains the following confidentiality provision:</w:t>
      </w:r>
    </w:p>
    <w:p w14:paraId="51BA93AD"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w:t>
      </w:r>
    </w:p>
    <w:p w14:paraId="7DC038B3"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b/>
          <w:bCs/>
          <w:color w:val="000000"/>
          <w:sz w:val="24"/>
          <w:szCs w:val="24"/>
        </w:rPr>
        <w:t xml:space="preserve">§8733. Confidentiality </w:t>
      </w:r>
    </w:p>
    <w:p w14:paraId="524C1799" w14:textId="77777777" w:rsidR="00EE740C" w:rsidRPr="009C579A"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Information provided to the organization as required by this subchapter by a</w:t>
      </w:r>
      <w:r w:rsidRPr="00683464">
        <w:rPr>
          <w:rFonts w:asciiTheme="minorHAnsi" w:hAnsiTheme="minorHAnsi" w:cstheme="minorHAnsi"/>
          <w:b/>
          <w:bCs/>
          <w:color w:val="000000"/>
          <w:sz w:val="24"/>
          <w:szCs w:val="24"/>
        </w:rPr>
        <w:t xml:space="preserve"> </w:t>
      </w:r>
      <w:r w:rsidRPr="00683464">
        <w:rPr>
          <w:rFonts w:asciiTheme="minorHAnsi" w:hAnsiTheme="minorHAnsi" w:cstheme="minorHAnsi"/>
          <w:color w:val="000000"/>
          <w:sz w:val="24"/>
          <w:szCs w:val="24"/>
        </w:rPr>
        <w:t xml:space="preserve">manufacturer, wholesale drug distributor or pharmacy benefits </w:t>
      </w:r>
      <w:r w:rsidRPr="009C579A">
        <w:rPr>
          <w:rFonts w:asciiTheme="minorHAnsi" w:hAnsiTheme="minorHAnsi" w:cstheme="minorHAnsi"/>
          <w:bCs/>
          <w:color w:val="000000"/>
          <w:sz w:val="24"/>
          <w:szCs w:val="24"/>
        </w:rPr>
        <w:t>manager is confidential</w:t>
      </w:r>
    </w:p>
    <w:p w14:paraId="4C322A10"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bCs/>
          <w:color w:val="000000"/>
          <w:sz w:val="24"/>
          <w:szCs w:val="24"/>
        </w:rPr>
        <w:t>and not a public record under Title 1, chapter 13,</w:t>
      </w:r>
      <w:r w:rsidRPr="009C579A">
        <w:rPr>
          <w:rFonts w:asciiTheme="minorHAnsi" w:hAnsiTheme="minorHAnsi" w:cstheme="minorHAnsi"/>
          <w:color w:val="000000"/>
          <w:sz w:val="24"/>
          <w:szCs w:val="24"/>
        </w:rPr>
        <w:t xml:space="preserve"> </w:t>
      </w:r>
      <w:r w:rsidRPr="009C579A">
        <w:rPr>
          <w:rFonts w:asciiTheme="minorHAnsi" w:hAnsiTheme="minorHAnsi" w:cstheme="minorHAnsi"/>
          <w:bCs/>
          <w:color w:val="000000"/>
          <w:sz w:val="24"/>
          <w:szCs w:val="24"/>
        </w:rPr>
        <w:t>except that the organization may share</w:t>
      </w:r>
      <w:r w:rsidRPr="009C579A">
        <w:rPr>
          <w:rFonts w:asciiTheme="minorHAnsi" w:hAnsiTheme="minorHAnsi" w:cstheme="minorHAnsi"/>
          <w:color w:val="000000"/>
          <w:sz w:val="24"/>
          <w:szCs w:val="24"/>
        </w:rPr>
        <w:t xml:space="preserve"> information:</w:t>
      </w:r>
    </w:p>
    <w:p w14:paraId="3B848DB7"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color w:val="000000"/>
          <w:sz w:val="24"/>
          <w:szCs w:val="24"/>
        </w:rPr>
        <w:t> </w:t>
      </w:r>
    </w:p>
    <w:p w14:paraId="673D8084"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bCs/>
          <w:color w:val="000000"/>
          <w:sz w:val="24"/>
          <w:szCs w:val="24"/>
        </w:rPr>
        <w:t xml:space="preserve">1. Bureau of Insurance. </w:t>
      </w:r>
      <w:r w:rsidRPr="009C579A">
        <w:rPr>
          <w:rFonts w:asciiTheme="minorHAnsi" w:hAnsiTheme="minorHAnsi" w:cstheme="minorHAnsi"/>
          <w:color w:val="000000"/>
          <w:sz w:val="24"/>
          <w:szCs w:val="24"/>
        </w:rPr>
        <w:t>With the Department of Professional and Financial Regulation, Bureau of Insurance, to the extent necessary for the bureau to enforce the</w:t>
      </w:r>
    </w:p>
    <w:p w14:paraId="3D783C64" w14:textId="77777777"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color w:val="000000"/>
          <w:sz w:val="24"/>
          <w:szCs w:val="24"/>
        </w:rPr>
        <w:t xml:space="preserve">provisions of Title 24-A, </w:t>
      </w:r>
      <w:r w:rsidRPr="009C579A">
        <w:rPr>
          <w:rFonts w:asciiTheme="minorHAnsi" w:hAnsiTheme="minorHAnsi" w:cstheme="minorHAnsi"/>
          <w:bCs/>
          <w:color w:val="000000"/>
          <w:sz w:val="24"/>
          <w:szCs w:val="24"/>
        </w:rPr>
        <w:t>as long as any information shared is kept confidential; and</w:t>
      </w:r>
    </w:p>
    <w:p w14:paraId="6333CB72" w14:textId="77777777" w:rsidR="00EE740C" w:rsidRPr="00683464" w:rsidRDefault="00EE740C" w:rsidP="00EE740C">
      <w:pPr>
        <w:rPr>
          <w:rFonts w:asciiTheme="minorHAnsi" w:hAnsiTheme="minorHAnsi" w:cstheme="minorHAnsi"/>
          <w:color w:val="000000"/>
          <w:sz w:val="24"/>
          <w:szCs w:val="24"/>
        </w:rPr>
      </w:pPr>
      <w:r w:rsidRPr="009C579A">
        <w:rPr>
          <w:rFonts w:asciiTheme="minorHAnsi" w:hAnsiTheme="minorHAnsi" w:cstheme="minorHAnsi"/>
          <w:bCs/>
          <w:color w:val="000000"/>
          <w:sz w:val="24"/>
          <w:szCs w:val="24"/>
        </w:rPr>
        <w:t>2. Aggregate.</w:t>
      </w:r>
      <w:r w:rsidRPr="00683464">
        <w:rPr>
          <w:rFonts w:asciiTheme="minorHAnsi" w:hAnsiTheme="minorHAnsi" w:cstheme="minorHAnsi"/>
          <w:b/>
          <w:bCs/>
          <w:color w:val="000000"/>
          <w:sz w:val="24"/>
          <w:szCs w:val="24"/>
        </w:rPr>
        <w:t xml:space="preserve"> </w:t>
      </w:r>
      <w:r w:rsidRPr="00683464">
        <w:rPr>
          <w:rFonts w:asciiTheme="minorHAnsi" w:hAnsiTheme="minorHAnsi" w:cstheme="minorHAnsi"/>
          <w:color w:val="000000"/>
          <w:sz w:val="24"/>
          <w:szCs w:val="24"/>
        </w:rPr>
        <w:t>In the aggregate, as long as it is not released in a manner that allows the identification of an individual drug or manufacturer, wholesale drug distributor or</w:t>
      </w:r>
    </w:p>
    <w:p w14:paraId="5510B48C"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pharmacy benefits manager.</w:t>
      </w:r>
    </w:p>
    <w:p w14:paraId="7CEB3A6B"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w:t>
      </w:r>
    </w:p>
    <w:p w14:paraId="672D19B9" w14:textId="0229E02B"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xml:space="preserve">The data that the MHDO collects under this proposed rule will remain confidential and not </w:t>
      </w:r>
      <w:r w:rsidR="00806FDE" w:rsidRPr="00683464">
        <w:rPr>
          <w:rFonts w:asciiTheme="minorHAnsi" w:hAnsiTheme="minorHAnsi" w:cstheme="minorHAnsi"/>
          <w:color w:val="000000"/>
          <w:sz w:val="24"/>
          <w:szCs w:val="24"/>
        </w:rPr>
        <w:t xml:space="preserve">be </w:t>
      </w:r>
      <w:r w:rsidRPr="00683464">
        <w:rPr>
          <w:rFonts w:asciiTheme="minorHAnsi" w:hAnsiTheme="minorHAnsi" w:cstheme="minorHAnsi"/>
          <w:color w:val="000000"/>
          <w:sz w:val="24"/>
          <w:szCs w:val="24"/>
        </w:rPr>
        <w:t xml:space="preserve">released to the public or to other state or federal agencies except for as described above.  </w:t>
      </w:r>
    </w:p>
    <w:p w14:paraId="4840BBFA"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w:t>
      </w:r>
    </w:p>
    <w:p w14:paraId="3A5A666F" w14:textId="45A0A0D8" w:rsidR="009C579A" w:rsidRPr="009C579A" w:rsidRDefault="00EE740C" w:rsidP="00EE740C">
      <w:pPr>
        <w:rPr>
          <w:rFonts w:asciiTheme="minorHAnsi" w:hAnsiTheme="minorHAnsi" w:cstheme="minorHAnsi"/>
          <w:color w:val="000000"/>
          <w:sz w:val="24"/>
          <w:szCs w:val="24"/>
        </w:rPr>
      </w:pPr>
      <w:r w:rsidRPr="00683464">
        <w:rPr>
          <w:rFonts w:asciiTheme="minorHAnsi" w:hAnsiTheme="minorHAnsi" w:cstheme="minorHAnsi"/>
          <w:color w:val="000000"/>
          <w:sz w:val="24"/>
          <w:szCs w:val="24"/>
        </w:rPr>
        <w:t xml:space="preserve">In response to the comments regarding the submission of rebate data.   Rebate data is a major component of prescription drug pricing along the supply chain and is a required data element in Rule Chapter 570 </w:t>
      </w:r>
      <w:r w:rsidR="009C579A" w:rsidRPr="00683464">
        <w:rPr>
          <w:rFonts w:asciiTheme="minorHAnsi" w:hAnsiTheme="minorHAnsi" w:cstheme="minorHAnsi"/>
          <w:color w:val="000000"/>
          <w:sz w:val="24"/>
          <w:szCs w:val="24"/>
        </w:rPr>
        <w:t>for</w:t>
      </w:r>
      <w:r w:rsidRPr="00683464">
        <w:rPr>
          <w:rFonts w:asciiTheme="minorHAnsi" w:hAnsiTheme="minorHAnsi" w:cstheme="minorHAnsi"/>
          <w:color w:val="000000"/>
          <w:sz w:val="24"/>
          <w:szCs w:val="24"/>
        </w:rPr>
        <w:t xml:space="preserve"> MHDO to produce the annual report as described </w:t>
      </w:r>
      <w:r w:rsidRPr="009C579A">
        <w:rPr>
          <w:rFonts w:asciiTheme="minorHAnsi" w:hAnsiTheme="minorHAnsi" w:cstheme="minorHAnsi"/>
          <w:color w:val="000000"/>
          <w:sz w:val="24"/>
          <w:szCs w:val="24"/>
        </w:rPr>
        <w:t xml:space="preserve">in </w:t>
      </w:r>
      <w:r w:rsidR="009C579A">
        <w:rPr>
          <w:rFonts w:asciiTheme="minorHAnsi" w:hAnsiTheme="minorHAnsi" w:cstheme="minorHAnsi"/>
          <w:bCs/>
          <w:color w:val="000000"/>
          <w:sz w:val="24"/>
          <w:szCs w:val="24"/>
        </w:rPr>
        <w:t xml:space="preserve">§8736 </w:t>
      </w:r>
      <w:r w:rsidRPr="009C579A">
        <w:rPr>
          <w:rFonts w:asciiTheme="minorHAnsi" w:hAnsiTheme="minorHAnsi" w:cstheme="minorHAnsi"/>
          <w:bCs/>
          <w:color w:val="000000"/>
          <w:sz w:val="24"/>
          <w:szCs w:val="24"/>
        </w:rPr>
        <w:t>Public report.</w:t>
      </w:r>
      <w:r w:rsidRPr="009C579A">
        <w:rPr>
          <w:rFonts w:asciiTheme="minorHAnsi" w:hAnsiTheme="minorHAnsi" w:cstheme="minorHAnsi"/>
          <w:color w:val="000000"/>
          <w:sz w:val="24"/>
          <w:szCs w:val="24"/>
        </w:rPr>
        <w:t xml:space="preserve">   </w:t>
      </w:r>
    </w:p>
    <w:p w14:paraId="0E1288D3" w14:textId="77777777" w:rsidR="009C579A" w:rsidRPr="009C579A" w:rsidRDefault="009C579A" w:rsidP="00EE740C">
      <w:pPr>
        <w:rPr>
          <w:rFonts w:asciiTheme="minorHAnsi" w:hAnsiTheme="minorHAnsi" w:cstheme="minorHAnsi"/>
          <w:color w:val="000000"/>
          <w:sz w:val="24"/>
          <w:szCs w:val="24"/>
        </w:rPr>
      </w:pPr>
    </w:p>
    <w:p w14:paraId="767843A1" w14:textId="710CAB3F" w:rsidR="00EE740C" w:rsidRPr="009C579A" w:rsidRDefault="00EE740C" w:rsidP="00EE740C">
      <w:pPr>
        <w:rPr>
          <w:rFonts w:asciiTheme="minorHAnsi" w:hAnsiTheme="minorHAnsi" w:cstheme="minorHAnsi"/>
          <w:color w:val="000000"/>
          <w:sz w:val="24"/>
          <w:szCs w:val="24"/>
        </w:rPr>
      </w:pPr>
      <w:r w:rsidRPr="009C579A">
        <w:rPr>
          <w:rFonts w:asciiTheme="minorHAnsi" w:hAnsiTheme="minorHAnsi" w:cstheme="minorHAnsi"/>
          <w:color w:val="000000"/>
          <w:sz w:val="24"/>
          <w:szCs w:val="24"/>
        </w:rPr>
        <w:t>As stated in §8736,</w:t>
      </w:r>
      <w:r w:rsidRPr="009C579A">
        <w:rPr>
          <w:rFonts w:asciiTheme="minorHAnsi" w:hAnsiTheme="minorHAnsi" w:cstheme="minorHAnsi"/>
          <w:bCs/>
          <w:color w:val="000000"/>
          <w:sz w:val="24"/>
          <w:szCs w:val="24"/>
        </w:rPr>
        <w:t> the</w:t>
      </w:r>
      <w:r w:rsidRPr="009C579A">
        <w:rPr>
          <w:rFonts w:asciiTheme="minorHAnsi" w:hAnsiTheme="minorHAnsi" w:cstheme="minorHAnsi"/>
          <w:color w:val="000000"/>
          <w:sz w:val="24"/>
          <w:szCs w:val="24"/>
        </w:rPr>
        <w:t xml:space="preserve"> annual report </w:t>
      </w:r>
      <w:r w:rsidRPr="009C579A">
        <w:rPr>
          <w:rFonts w:asciiTheme="minorHAnsi" w:hAnsiTheme="minorHAnsi" w:cstheme="minorHAnsi"/>
          <w:bCs/>
          <w:color w:val="000000"/>
          <w:sz w:val="24"/>
          <w:szCs w:val="24"/>
        </w:rPr>
        <w:t>may not disclose information attributable to any particular manufacturer, wholesale drug distributor or pharmacy benefits manager subject to this subchapter and may not make public any information that is confidential pursuant to section 8733.</w:t>
      </w:r>
    </w:p>
    <w:p w14:paraId="7EC76135" w14:textId="77777777" w:rsidR="00EE740C" w:rsidRPr="00683464" w:rsidRDefault="00EE740C" w:rsidP="00EE740C">
      <w:pPr>
        <w:rPr>
          <w:rFonts w:asciiTheme="minorHAnsi" w:hAnsiTheme="minorHAnsi" w:cstheme="minorHAnsi"/>
          <w:color w:val="000000"/>
          <w:sz w:val="24"/>
          <w:szCs w:val="24"/>
        </w:rPr>
      </w:pPr>
      <w:r w:rsidRPr="00683464">
        <w:rPr>
          <w:rFonts w:asciiTheme="minorHAnsi" w:hAnsiTheme="minorHAnsi" w:cstheme="minorHAnsi"/>
          <w:b/>
          <w:bCs/>
          <w:color w:val="000000"/>
          <w:sz w:val="24"/>
          <w:szCs w:val="24"/>
        </w:rPr>
        <w:t> </w:t>
      </w:r>
    </w:p>
    <w:p w14:paraId="7C9BFEAE" w14:textId="17329DDC" w:rsidR="00EE740C" w:rsidRPr="00806FDE" w:rsidRDefault="00EE740C" w:rsidP="007C4960">
      <w:pPr>
        <w:rPr>
          <w:rFonts w:asciiTheme="minorHAnsi" w:hAnsiTheme="minorHAnsi" w:cstheme="minorHAnsi"/>
          <w:b/>
          <w:sz w:val="24"/>
          <w:szCs w:val="24"/>
        </w:rPr>
      </w:pPr>
      <w:r w:rsidRPr="00683464">
        <w:rPr>
          <w:rFonts w:asciiTheme="minorHAnsi" w:hAnsiTheme="minorHAnsi" w:cstheme="minorHAnsi"/>
          <w:color w:val="000000"/>
          <w:sz w:val="24"/>
          <w:szCs w:val="24"/>
        </w:rPr>
        <w:t xml:space="preserve">Given the requirements in the mandate specific to the confidentiality of this data and the fact that the annual report as described in </w:t>
      </w:r>
      <w:r w:rsidRPr="009C579A">
        <w:rPr>
          <w:rFonts w:asciiTheme="minorHAnsi" w:hAnsiTheme="minorHAnsi" w:cstheme="minorHAnsi"/>
          <w:bCs/>
          <w:color w:val="000000"/>
          <w:sz w:val="24"/>
          <w:szCs w:val="24"/>
        </w:rPr>
        <w:t>§8736</w:t>
      </w:r>
      <w:r w:rsidRPr="009C579A">
        <w:rPr>
          <w:rFonts w:asciiTheme="minorHAnsi" w:hAnsiTheme="minorHAnsi" w:cstheme="minorHAnsi"/>
          <w:color w:val="000000"/>
          <w:sz w:val="24"/>
          <w:szCs w:val="24"/>
        </w:rPr>
        <w:t xml:space="preserve">  will not disclose</w:t>
      </w:r>
      <w:r w:rsidRPr="009C579A">
        <w:rPr>
          <w:rFonts w:asciiTheme="minorHAnsi" w:hAnsiTheme="minorHAnsi" w:cstheme="minorHAnsi"/>
          <w:bCs/>
          <w:color w:val="000000"/>
          <w:sz w:val="24"/>
          <w:szCs w:val="24"/>
        </w:rPr>
        <w:t xml:space="preserve"> information attributable to any particular manufacturer, wholesale drug distributor or pharmacy benefits manager, we do not recommend any revisions to the data submission requirements </w:t>
      </w:r>
      <w:r w:rsidRPr="009C579A">
        <w:rPr>
          <w:rFonts w:asciiTheme="minorHAnsi" w:hAnsiTheme="minorHAnsi" w:cstheme="minorHAnsi"/>
          <w:color w:val="000000"/>
          <w:sz w:val="24"/>
          <w:szCs w:val="24"/>
        </w:rPr>
        <w:t>as we believe that the</w:t>
      </w:r>
      <w:r w:rsidR="009C579A">
        <w:rPr>
          <w:rFonts w:asciiTheme="minorHAnsi" w:hAnsiTheme="minorHAnsi" w:cstheme="minorHAnsi"/>
          <w:color w:val="000000"/>
          <w:sz w:val="24"/>
          <w:szCs w:val="24"/>
        </w:rPr>
        <w:t xml:space="preserve"> </w:t>
      </w:r>
      <w:r w:rsidRPr="00683464">
        <w:rPr>
          <w:rFonts w:asciiTheme="minorHAnsi" w:hAnsiTheme="minorHAnsi" w:cstheme="minorHAnsi"/>
          <w:color w:val="000000"/>
          <w:sz w:val="24"/>
          <w:szCs w:val="24"/>
        </w:rPr>
        <w:t xml:space="preserve">provisions </w:t>
      </w:r>
      <w:r w:rsidR="009C579A">
        <w:rPr>
          <w:rFonts w:asciiTheme="minorHAnsi" w:hAnsiTheme="minorHAnsi" w:cstheme="minorHAnsi"/>
          <w:color w:val="000000"/>
          <w:sz w:val="24"/>
          <w:szCs w:val="24"/>
        </w:rPr>
        <w:t xml:space="preserve">in the law </w:t>
      </w:r>
      <w:r w:rsidRPr="00683464">
        <w:rPr>
          <w:rFonts w:asciiTheme="minorHAnsi" w:hAnsiTheme="minorHAnsi" w:cstheme="minorHAnsi"/>
          <w:color w:val="000000"/>
          <w:sz w:val="24"/>
          <w:szCs w:val="24"/>
        </w:rPr>
        <w:t xml:space="preserve">provide adequate protection to the reporting entities from the disclosure of </w:t>
      </w:r>
      <w:r w:rsidR="009C579A">
        <w:rPr>
          <w:rFonts w:asciiTheme="minorHAnsi" w:hAnsiTheme="minorHAnsi" w:cstheme="minorHAnsi"/>
          <w:color w:val="000000"/>
          <w:sz w:val="24"/>
          <w:szCs w:val="24"/>
        </w:rPr>
        <w:t xml:space="preserve">what they believe is </w:t>
      </w:r>
      <w:r w:rsidRPr="00683464">
        <w:rPr>
          <w:rFonts w:asciiTheme="minorHAnsi" w:hAnsiTheme="minorHAnsi" w:cstheme="minorHAnsi"/>
          <w:color w:val="000000"/>
          <w:sz w:val="24"/>
          <w:szCs w:val="24"/>
        </w:rPr>
        <w:t>proprietary and/or trade secret information</w:t>
      </w:r>
      <w:r w:rsidR="009C579A">
        <w:rPr>
          <w:rFonts w:asciiTheme="minorHAnsi" w:hAnsiTheme="minorHAnsi" w:cstheme="minorHAnsi"/>
          <w:color w:val="000000"/>
          <w:sz w:val="24"/>
          <w:szCs w:val="24"/>
        </w:rPr>
        <w:t>.</w:t>
      </w:r>
    </w:p>
    <w:p w14:paraId="2201C682" w14:textId="77777777" w:rsidR="007C4960" w:rsidRPr="00B51A81" w:rsidRDefault="007C4960" w:rsidP="007C4960">
      <w:pPr>
        <w:rPr>
          <w:rFonts w:asciiTheme="minorHAnsi" w:hAnsiTheme="minorHAnsi" w:cstheme="minorHAnsi"/>
          <w:b/>
          <w:sz w:val="24"/>
          <w:szCs w:val="24"/>
        </w:rPr>
      </w:pPr>
    </w:p>
    <w:p w14:paraId="3492A9D6" w14:textId="6BF0EF74" w:rsidR="002D17BA" w:rsidRPr="00806FDE" w:rsidRDefault="00023874" w:rsidP="002D17BA">
      <w:pPr>
        <w:rPr>
          <w:rFonts w:asciiTheme="minorHAnsi" w:hAnsiTheme="minorHAnsi" w:cstheme="minorHAnsi"/>
          <w:sz w:val="24"/>
          <w:szCs w:val="24"/>
        </w:rPr>
      </w:pPr>
      <w:r w:rsidRPr="007F3974">
        <w:rPr>
          <w:rFonts w:asciiTheme="minorHAnsi" w:hAnsiTheme="minorHAnsi" w:cstheme="minorHAnsi"/>
          <w:b/>
          <w:sz w:val="24"/>
          <w:szCs w:val="24"/>
        </w:rPr>
        <w:t xml:space="preserve">Recommended </w:t>
      </w:r>
      <w:r w:rsidR="007C4960" w:rsidRPr="007F3974">
        <w:rPr>
          <w:rFonts w:asciiTheme="minorHAnsi" w:hAnsiTheme="minorHAnsi" w:cstheme="minorHAnsi"/>
          <w:b/>
          <w:sz w:val="24"/>
          <w:szCs w:val="24"/>
        </w:rPr>
        <w:t xml:space="preserve">Board Action: </w:t>
      </w:r>
      <w:r w:rsidR="00EE740C" w:rsidRPr="00B51A81">
        <w:rPr>
          <w:rFonts w:asciiTheme="minorHAnsi" w:hAnsiTheme="minorHAnsi" w:cstheme="minorHAnsi"/>
          <w:color w:val="000000"/>
          <w:sz w:val="24"/>
          <w:szCs w:val="24"/>
        </w:rPr>
        <w:t xml:space="preserve"> No further action required.</w:t>
      </w:r>
    </w:p>
    <w:p w14:paraId="46262522" w14:textId="77777777" w:rsidR="002D17BA" w:rsidRDefault="002D17BA" w:rsidP="002D17BA">
      <w:pPr>
        <w:rPr>
          <w:rFonts w:asciiTheme="minorHAnsi" w:hAnsiTheme="minorHAnsi" w:cs="Arial"/>
          <w:sz w:val="24"/>
          <w:szCs w:val="24"/>
        </w:rPr>
      </w:pPr>
    </w:p>
    <w:p w14:paraId="6B095FF5" w14:textId="77777777" w:rsidR="00F024F6" w:rsidRPr="00F024F6" w:rsidRDefault="00011D04" w:rsidP="00F024F6">
      <w:pPr>
        <w:pStyle w:val="ListParagraph"/>
        <w:numPr>
          <w:ilvl w:val="0"/>
          <w:numId w:val="47"/>
        </w:numPr>
        <w:rPr>
          <w:rFonts w:asciiTheme="minorHAnsi" w:hAnsiTheme="minorHAnsi" w:cs="Arial"/>
          <w:sz w:val="24"/>
          <w:szCs w:val="24"/>
        </w:rPr>
      </w:pPr>
      <w:r w:rsidRPr="002D17BA">
        <w:rPr>
          <w:rFonts w:asciiTheme="minorHAnsi" w:hAnsiTheme="minorHAnsi" w:cs="Arial"/>
          <w:b/>
          <w:sz w:val="28"/>
          <w:szCs w:val="28"/>
        </w:rPr>
        <w:t>The Pharmaceutical Research and Manufacturers of America (PhRMA)</w:t>
      </w:r>
    </w:p>
    <w:p w14:paraId="05964BD9" w14:textId="5205DC49" w:rsidR="00907590" w:rsidRPr="00CF634B" w:rsidRDefault="00A15C41" w:rsidP="00EC6122">
      <w:pPr>
        <w:pStyle w:val="ListParagraph"/>
        <w:ind w:left="360"/>
        <w:rPr>
          <w:rFonts w:asciiTheme="minorHAnsi" w:hAnsiTheme="minorHAnsi" w:cs="Arial"/>
          <w:sz w:val="24"/>
          <w:szCs w:val="24"/>
        </w:rPr>
      </w:pPr>
      <w:r w:rsidRPr="00F024F6">
        <w:rPr>
          <w:rFonts w:asciiTheme="minorHAnsi" w:hAnsiTheme="minorHAnsi" w:cs="Arial"/>
          <w:b/>
          <w:sz w:val="28"/>
          <w:szCs w:val="28"/>
        </w:rPr>
        <w:t xml:space="preserve">submitted </w:t>
      </w:r>
      <w:r w:rsidR="00011D04" w:rsidRPr="00F024F6">
        <w:rPr>
          <w:rFonts w:asciiTheme="minorHAnsi" w:hAnsiTheme="minorHAnsi" w:cs="Arial"/>
          <w:b/>
          <w:sz w:val="28"/>
          <w:szCs w:val="28"/>
        </w:rPr>
        <w:t>the following comments:</w:t>
      </w:r>
    </w:p>
    <w:p w14:paraId="48C43AE8" w14:textId="1DD65540" w:rsidR="005D425B" w:rsidRPr="00CF634B" w:rsidRDefault="00011D04" w:rsidP="005D425B">
      <w:pPr>
        <w:rPr>
          <w:rFonts w:asciiTheme="minorHAnsi" w:hAnsiTheme="minorHAnsi" w:cs="Arial"/>
          <w:b/>
          <w:sz w:val="24"/>
          <w:szCs w:val="24"/>
        </w:rPr>
      </w:pPr>
      <w:r w:rsidRPr="00CF634B">
        <w:rPr>
          <w:rFonts w:asciiTheme="minorHAnsi" w:hAnsiTheme="minorHAnsi" w:cs="Arial"/>
          <w:b/>
          <w:sz w:val="24"/>
          <w:szCs w:val="24"/>
        </w:rPr>
        <w:t>Comment</w:t>
      </w:r>
      <w:r w:rsidR="00A15C41" w:rsidRPr="00CF634B">
        <w:rPr>
          <w:rFonts w:asciiTheme="minorHAnsi" w:hAnsiTheme="minorHAnsi" w:cs="Arial"/>
          <w:b/>
          <w:sz w:val="24"/>
          <w:szCs w:val="24"/>
        </w:rPr>
        <w:t>-</w:t>
      </w:r>
      <w:r w:rsidR="005D425B" w:rsidRPr="00CF634B">
        <w:rPr>
          <w:rFonts w:asciiTheme="minorHAnsi" w:hAnsiTheme="minorHAnsi" w:cs="Arial"/>
          <w:b/>
          <w:sz w:val="24"/>
          <w:szCs w:val="24"/>
        </w:rPr>
        <w:t xml:space="preserve"> </w:t>
      </w:r>
      <w:r w:rsidR="00921933" w:rsidRPr="00CF634B">
        <w:rPr>
          <w:rFonts w:asciiTheme="minorHAnsi" w:hAnsiTheme="minorHAnsi" w:cs="Arial"/>
          <w:b/>
          <w:sz w:val="24"/>
          <w:szCs w:val="24"/>
        </w:rPr>
        <w:t xml:space="preserve">Section 1. </w:t>
      </w:r>
      <w:r w:rsidR="005D425B" w:rsidRPr="00CF634B">
        <w:rPr>
          <w:rFonts w:asciiTheme="minorHAnsi" w:hAnsiTheme="minorHAnsi" w:cs="Arial"/>
          <w:b/>
          <w:sz w:val="24"/>
          <w:szCs w:val="24"/>
        </w:rPr>
        <w:t>Definitions</w:t>
      </w:r>
      <w:r w:rsidR="005D046E" w:rsidRPr="00CF634B">
        <w:rPr>
          <w:rFonts w:asciiTheme="minorHAnsi" w:hAnsiTheme="minorHAnsi" w:cs="Arial"/>
          <w:b/>
          <w:sz w:val="24"/>
          <w:szCs w:val="24"/>
        </w:rPr>
        <w:t>-</w:t>
      </w:r>
      <w:r w:rsidR="005D046E" w:rsidRPr="00CF634B">
        <w:rPr>
          <w:rFonts w:asciiTheme="minorHAnsi" w:hAnsiTheme="minorHAnsi" w:cs="Calibri"/>
          <w:b/>
          <w:sz w:val="24"/>
          <w:szCs w:val="24"/>
        </w:rPr>
        <w:t xml:space="preserve"> “Manufacturer”</w:t>
      </w:r>
    </w:p>
    <w:p w14:paraId="6C35A308" w14:textId="3341770B" w:rsidR="005D425B" w:rsidRPr="00CF634B" w:rsidRDefault="005D425B" w:rsidP="005D425B">
      <w:pPr>
        <w:rPr>
          <w:rFonts w:asciiTheme="minorHAnsi" w:hAnsiTheme="minorHAnsi" w:cs="Arial"/>
          <w:sz w:val="24"/>
          <w:szCs w:val="24"/>
        </w:rPr>
      </w:pPr>
      <w:r w:rsidRPr="00CF634B">
        <w:rPr>
          <w:rFonts w:asciiTheme="minorHAnsi" w:hAnsiTheme="minorHAnsi" w:cs="Arial"/>
          <w:i/>
          <w:sz w:val="24"/>
          <w:szCs w:val="24"/>
        </w:rPr>
        <w:t>Manufacturer:</w:t>
      </w:r>
      <w:r w:rsidRPr="00CF634B">
        <w:rPr>
          <w:rFonts w:asciiTheme="minorHAnsi" w:hAnsiTheme="minorHAnsi" w:cs="Arial"/>
          <w:sz w:val="24"/>
          <w:szCs w:val="24"/>
        </w:rPr>
        <w:t xml:space="preserve"> In order to streamline reporting and compliance burden for both manufacturers and MHDO, PhRMA would recommend a clarification that manufacturers may report at the corporate, as opposed to subsidiary, level.</w:t>
      </w:r>
    </w:p>
    <w:p w14:paraId="7180BA4F" w14:textId="488C030F" w:rsidR="005D046E" w:rsidRPr="00CF634B" w:rsidRDefault="005D046E" w:rsidP="005D425B">
      <w:pPr>
        <w:rPr>
          <w:rFonts w:asciiTheme="minorHAnsi" w:hAnsiTheme="minorHAnsi" w:cs="Arial"/>
          <w:sz w:val="24"/>
          <w:szCs w:val="24"/>
        </w:rPr>
      </w:pPr>
    </w:p>
    <w:p w14:paraId="3C9BD356" w14:textId="571702F6" w:rsidR="005D046E" w:rsidRPr="00CF634B" w:rsidRDefault="005D046E" w:rsidP="005D046E">
      <w:pPr>
        <w:autoSpaceDE w:val="0"/>
        <w:autoSpaceDN w:val="0"/>
        <w:adjustRightInd w:val="0"/>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Pr="00CF634B">
        <w:rPr>
          <w:rFonts w:asciiTheme="minorHAnsi" w:hAnsiTheme="minorHAnsi" w:cstheme="minorHAnsi"/>
          <w:sz w:val="24"/>
          <w:szCs w:val="24"/>
        </w:rPr>
        <w:t xml:space="preserve">MHDO agrees that reporting entities may report at a corporate or subsidiary level and </w:t>
      </w:r>
      <w:r w:rsidR="004E2998">
        <w:rPr>
          <w:rFonts w:asciiTheme="minorHAnsi" w:hAnsiTheme="minorHAnsi" w:cstheme="minorHAnsi"/>
          <w:sz w:val="24"/>
          <w:szCs w:val="24"/>
        </w:rPr>
        <w:t>recommends incorporating</w:t>
      </w:r>
      <w:r w:rsidRPr="00CF634B">
        <w:rPr>
          <w:rFonts w:asciiTheme="minorHAnsi" w:hAnsiTheme="minorHAnsi" w:cstheme="minorHAnsi"/>
          <w:sz w:val="24"/>
          <w:szCs w:val="24"/>
        </w:rPr>
        <w:t xml:space="preserve"> clarifying language into Section 2 – Registration and Submission Requirements.</w:t>
      </w:r>
    </w:p>
    <w:p w14:paraId="410768E0" w14:textId="77777777" w:rsidR="005D046E" w:rsidRPr="00CF634B" w:rsidRDefault="005D046E" w:rsidP="005D046E">
      <w:pPr>
        <w:autoSpaceDE w:val="0"/>
        <w:autoSpaceDN w:val="0"/>
        <w:adjustRightInd w:val="0"/>
        <w:rPr>
          <w:rFonts w:asciiTheme="minorHAnsi" w:hAnsiTheme="minorHAnsi" w:cstheme="minorHAnsi"/>
          <w:sz w:val="24"/>
          <w:szCs w:val="24"/>
        </w:rPr>
      </w:pPr>
    </w:p>
    <w:p w14:paraId="544F4306" w14:textId="45123F38" w:rsidR="005D046E" w:rsidRPr="00CF634B" w:rsidRDefault="00023874" w:rsidP="005D046E">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cstheme="minorHAnsi"/>
          <w:b/>
          <w:sz w:val="24"/>
          <w:szCs w:val="24"/>
        </w:rPr>
        <w:t xml:space="preserve"> </w:t>
      </w:r>
      <w:r w:rsidR="005D046E" w:rsidRPr="00CF634B">
        <w:rPr>
          <w:rFonts w:asciiTheme="minorHAnsi" w:hAnsiTheme="minorHAnsi" w:cstheme="minorHAnsi"/>
          <w:b/>
          <w:sz w:val="24"/>
          <w:szCs w:val="24"/>
        </w:rPr>
        <w:t xml:space="preserve">Board Action:  </w:t>
      </w:r>
      <w:r w:rsidR="005D046E" w:rsidRPr="00CF634B">
        <w:rPr>
          <w:rFonts w:asciiTheme="minorHAnsi" w:hAnsiTheme="minorHAnsi" w:cstheme="minorHAnsi"/>
          <w:sz w:val="24"/>
          <w:szCs w:val="24"/>
        </w:rPr>
        <w:t xml:space="preserve">Amend Section 2 – Registration and Submission Requirements as follows: </w:t>
      </w:r>
    </w:p>
    <w:p w14:paraId="7FCB1B5C" w14:textId="77777777" w:rsidR="005D046E" w:rsidRPr="00CF634B" w:rsidRDefault="005D046E" w:rsidP="005D046E">
      <w:pPr>
        <w:rPr>
          <w:rFonts w:asciiTheme="minorHAnsi" w:hAnsiTheme="minorHAnsi" w:cstheme="minorHAnsi"/>
          <w:sz w:val="24"/>
          <w:szCs w:val="24"/>
        </w:rPr>
      </w:pPr>
    </w:p>
    <w:p w14:paraId="2DE5A4FD" w14:textId="3A0599A4" w:rsidR="005D046E" w:rsidRPr="00CF634B" w:rsidRDefault="005D046E" w:rsidP="005D046E">
      <w:pPr>
        <w:tabs>
          <w:tab w:val="left" w:pos="720"/>
          <w:tab w:val="left" w:pos="1440"/>
          <w:tab w:val="left" w:pos="1530"/>
          <w:tab w:val="left" w:pos="2880"/>
          <w:tab w:val="left" w:pos="3600"/>
          <w:tab w:val="left" w:pos="4320"/>
        </w:tabs>
        <w:ind w:left="720"/>
        <w:rPr>
          <w:rFonts w:asciiTheme="minorHAnsi" w:hAnsiTheme="minorHAnsi" w:cstheme="minorHAnsi"/>
          <w:sz w:val="24"/>
          <w:szCs w:val="24"/>
        </w:rPr>
      </w:pPr>
      <w:r w:rsidRPr="000502BF">
        <w:rPr>
          <w:rFonts w:asciiTheme="minorHAnsi" w:hAnsiTheme="minorHAnsi" w:cstheme="minorHAnsi"/>
          <w:strike/>
          <w:sz w:val="24"/>
          <w:szCs w:val="24"/>
        </w:rPr>
        <w:t>Prescription drug manufacturers, wholesale drug distributors and PBMs</w:t>
      </w:r>
      <w:r w:rsidRPr="000502BF">
        <w:rPr>
          <w:rFonts w:asciiTheme="minorHAnsi" w:hAnsiTheme="minorHAnsi" w:cstheme="minorHAnsi"/>
          <w:sz w:val="24"/>
          <w:szCs w:val="24"/>
        </w:rPr>
        <w:t xml:space="preserve"> </w:t>
      </w:r>
      <w:r w:rsidR="009D17B1" w:rsidRPr="00CF03D1">
        <w:rPr>
          <w:rFonts w:asciiTheme="minorHAnsi" w:hAnsiTheme="minorHAnsi" w:cstheme="minorHAnsi"/>
          <w:sz w:val="24"/>
          <w:szCs w:val="24"/>
          <w:u w:val="single"/>
        </w:rPr>
        <w:t>Reporting entities</w:t>
      </w:r>
      <w:r w:rsidR="009D17B1" w:rsidRPr="000502BF">
        <w:rPr>
          <w:rFonts w:asciiTheme="minorHAnsi" w:hAnsiTheme="minorHAnsi" w:cstheme="minorHAnsi"/>
          <w:sz w:val="24"/>
          <w:szCs w:val="24"/>
          <w:u w:val="single"/>
        </w:rPr>
        <w:t xml:space="preserve"> </w:t>
      </w:r>
      <w:r w:rsidRPr="000502BF">
        <w:rPr>
          <w:rFonts w:asciiTheme="minorHAnsi" w:hAnsiTheme="minorHAnsi" w:cstheme="minorHAnsi"/>
          <w:sz w:val="24"/>
          <w:szCs w:val="24"/>
        </w:rPr>
        <w:t xml:space="preserve">shall submit to the MHDO or its designee complete prescription drug price data sets in accordance with the requirements of this section. </w:t>
      </w:r>
      <w:r w:rsidRPr="00CF03D1">
        <w:rPr>
          <w:rFonts w:asciiTheme="minorHAnsi" w:hAnsiTheme="minorHAnsi" w:cstheme="minorHAnsi"/>
          <w:sz w:val="24"/>
          <w:szCs w:val="24"/>
          <w:u w:val="single"/>
        </w:rPr>
        <w:t>Data may be submitted by corporate entities or their subsidiaries.</w:t>
      </w:r>
      <w:r w:rsidRPr="00CF03D1">
        <w:rPr>
          <w:rFonts w:asciiTheme="minorHAnsi" w:hAnsiTheme="minorHAnsi" w:cstheme="minorHAnsi"/>
          <w:sz w:val="24"/>
          <w:szCs w:val="24"/>
        </w:rPr>
        <w:t xml:space="preserve"> </w:t>
      </w:r>
      <w:r w:rsidRPr="008958EA">
        <w:rPr>
          <w:rFonts w:asciiTheme="minorHAnsi" w:hAnsiTheme="minorHAnsi" w:cstheme="minorHAnsi"/>
          <w:sz w:val="24"/>
          <w:szCs w:val="24"/>
        </w:rPr>
        <w:t xml:space="preserve">Reporting entities </w:t>
      </w:r>
      <w:r w:rsidR="009D17B1" w:rsidRPr="00CF03D1">
        <w:rPr>
          <w:rFonts w:asciiTheme="minorHAnsi" w:hAnsiTheme="minorHAnsi"/>
          <w:sz w:val="24"/>
          <w:szCs w:val="24"/>
          <w:u w:val="single"/>
        </w:rPr>
        <w:t>that engage subcontractors or other third parties to submit information on their behalf warrant the completeness and accuracy of all data submitted</w:t>
      </w:r>
      <w:r w:rsidR="009D17B1" w:rsidRPr="008958EA">
        <w:rPr>
          <w:rFonts w:asciiTheme="minorHAnsi" w:hAnsiTheme="minorHAnsi" w:cstheme="minorHAnsi"/>
          <w:strike/>
          <w:sz w:val="24"/>
          <w:szCs w:val="24"/>
        </w:rPr>
        <w:t xml:space="preserve"> </w:t>
      </w:r>
      <w:r w:rsidRPr="008958EA">
        <w:rPr>
          <w:rFonts w:asciiTheme="minorHAnsi" w:hAnsiTheme="minorHAnsi" w:cstheme="minorHAnsi"/>
          <w:strike/>
          <w:sz w:val="24"/>
          <w:szCs w:val="24"/>
        </w:rPr>
        <w:t>are also responsible for the submission of all data by</w:t>
      </w:r>
      <w:r w:rsidRPr="000502BF">
        <w:rPr>
          <w:rFonts w:asciiTheme="minorHAnsi" w:hAnsiTheme="minorHAnsi" w:cstheme="minorHAnsi"/>
          <w:strike/>
          <w:sz w:val="24"/>
          <w:szCs w:val="24"/>
        </w:rPr>
        <w:t xml:space="preserve"> any sub-contractor on their behalf</w:t>
      </w:r>
      <w:r w:rsidRPr="000502BF">
        <w:rPr>
          <w:rFonts w:asciiTheme="minorHAnsi" w:hAnsiTheme="minorHAnsi" w:cstheme="minorHAnsi"/>
          <w:sz w:val="24"/>
          <w:szCs w:val="24"/>
        </w:rPr>
        <w:t>.</w:t>
      </w:r>
      <w:r w:rsidRPr="00CF634B">
        <w:rPr>
          <w:rFonts w:asciiTheme="minorHAnsi" w:hAnsiTheme="minorHAnsi" w:cstheme="minorHAnsi"/>
          <w:sz w:val="24"/>
          <w:szCs w:val="24"/>
        </w:rPr>
        <w:t xml:space="preserve">  </w:t>
      </w:r>
    </w:p>
    <w:p w14:paraId="2B10C852" w14:textId="77777777" w:rsidR="009D17B1" w:rsidRPr="00CF634B" w:rsidRDefault="009D17B1" w:rsidP="005D425B">
      <w:pPr>
        <w:rPr>
          <w:rFonts w:asciiTheme="minorHAnsi" w:hAnsiTheme="minorHAnsi" w:cs="Arial"/>
          <w:sz w:val="24"/>
          <w:szCs w:val="24"/>
        </w:rPr>
      </w:pPr>
    </w:p>
    <w:p w14:paraId="3F0AE66B" w14:textId="2388FAF5" w:rsidR="00A732B5" w:rsidRPr="00CF634B" w:rsidRDefault="00A732B5"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 Section 1. Definitions – “</w:t>
      </w:r>
      <w:r w:rsidRPr="00CF634B">
        <w:rPr>
          <w:rFonts w:asciiTheme="minorHAnsi" w:hAnsiTheme="minorHAnsi" w:cs="Calibri-Italic"/>
          <w:b/>
          <w:iCs/>
          <w:sz w:val="24"/>
          <w:szCs w:val="24"/>
        </w:rPr>
        <w:t>National Drug Code (NDC)”</w:t>
      </w:r>
    </w:p>
    <w:p w14:paraId="10F59E19" w14:textId="01AB8F70" w:rsidR="005D425B" w:rsidRPr="00CF634B" w:rsidRDefault="005D425B" w:rsidP="005D425B">
      <w:pPr>
        <w:rPr>
          <w:rFonts w:asciiTheme="minorHAnsi" w:hAnsiTheme="minorHAnsi" w:cs="Arial"/>
          <w:sz w:val="24"/>
          <w:szCs w:val="24"/>
        </w:rPr>
      </w:pPr>
      <w:r w:rsidRPr="00CF634B">
        <w:rPr>
          <w:rFonts w:asciiTheme="minorHAnsi" w:hAnsiTheme="minorHAnsi" w:cs="Arial"/>
          <w:i/>
          <w:sz w:val="24"/>
          <w:szCs w:val="24"/>
        </w:rPr>
        <w:t>National Drug Code (NDC)</w:t>
      </w:r>
      <w:r w:rsidRPr="00CF634B">
        <w:rPr>
          <w:rFonts w:asciiTheme="minorHAnsi" w:hAnsiTheme="minorHAnsi" w:cs="Arial"/>
          <w:sz w:val="24"/>
          <w:szCs w:val="24"/>
        </w:rPr>
        <w:t>: We are concerned that the use of the 11-digit NDC code as a reporting requirement will result in significant over-reporting of information that does not align with the pricing of products and will be burdensome to both reporters and MHDO. Requiring reporting for each unique 11- digit NDC would result in data files for every package size and type of package for the same product. Instead, reporting should be standardized to occur at the 9-digit product-level NDC, which will focus on manufacturer and product/strength, but not require unnecessarily duplicative information for every packaging variation of the same product. This will result in more meaningful and manageable data submissions to MHDO.</w:t>
      </w:r>
    </w:p>
    <w:p w14:paraId="2EE88303" w14:textId="738F3629" w:rsidR="005D046E" w:rsidRPr="00CF634B" w:rsidRDefault="005D046E" w:rsidP="005D425B">
      <w:pPr>
        <w:rPr>
          <w:rFonts w:asciiTheme="minorHAnsi" w:hAnsiTheme="minorHAnsi" w:cs="Arial"/>
          <w:sz w:val="24"/>
          <w:szCs w:val="24"/>
        </w:rPr>
      </w:pPr>
    </w:p>
    <w:p w14:paraId="1C1295CB" w14:textId="38721BB6" w:rsidR="005D046E" w:rsidRPr="00CF634B" w:rsidRDefault="005D046E" w:rsidP="005D046E">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Section 8732 specifies that a manufacturer must provide notice when during the prior calendar year, the manufacturer increases the wholesale acquisition cost of a) a brand-name drug or, b) a generic drug with a wholesale acquisition cost of at least $10 per pricing unit, by more than 20% per pricing unit.  The wholesale acquisition cost of a drug product is applied at an NDC-11 level with variation by package size and, by extension, pricing unit.  As such we disagree that reporting should be standardized to occur at the 9-digit product-level NDC.</w:t>
      </w:r>
    </w:p>
    <w:p w14:paraId="10094E50" w14:textId="77777777" w:rsidR="005D046E" w:rsidRPr="00CF634B" w:rsidRDefault="005D046E" w:rsidP="005D046E">
      <w:pPr>
        <w:autoSpaceDE w:val="0"/>
        <w:autoSpaceDN w:val="0"/>
        <w:adjustRightInd w:val="0"/>
        <w:rPr>
          <w:rFonts w:asciiTheme="minorHAnsi" w:hAnsiTheme="minorHAnsi"/>
          <w:sz w:val="24"/>
          <w:szCs w:val="24"/>
        </w:rPr>
      </w:pPr>
    </w:p>
    <w:p w14:paraId="500E0411" w14:textId="099114ED" w:rsidR="005D046E" w:rsidRPr="00CF634B" w:rsidRDefault="00023874" w:rsidP="005D046E">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5D046E" w:rsidRPr="00CF634B">
        <w:rPr>
          <w:rFonts w:asciiTheme="minorHAnsi" w:hAnsiTheme="minorHAnsi"/>
          <w:b/>
          <w:sz w:val="24"/>
          <w:szCs w:val="24"/>
        </w:rPr>
        <w:t>Board Action:</w:t>
      </w:r>
      <w:r w:rsidR="005D046E" w:rsidRPr="00CF634B">
        <w:rPr>
          <w:rFonts w:asciiTheme="minorHAnsi" w:hAnsiTheme="minorHAnsi"/>
          <w:sz w:val="24"/>
          <w:szCs w:val="24"/>
        </w:rPr>
        <w:t xml:space="preserve">  No further action required.</w:t>
      </w:r>
    </w:p>
    <w:p w14:paraId="42BF9EF7" w14:textId="3BBF0C66" w:rsidR="005D425B" w:rsidRPr="00CF634B" w:rsidRDefault="005D425B" w:rsidP="005D425B">
      <w:pPr>
        <w:rPr>
          <w:rFonts w:asciiTheme="minorHAnsi" w:hAnsiTheme="minorHAnsi" w:cs="Arial"/>
          <w:sz w:val="24"/>
          <w:szCs w:val="24"/>
        </w:rPr>
      </w:pPr>
    </w:p>
    <w:p w14:paraId="39FE626E" w14:textId="4ED57196" w:rsidR="00A732B5" w:rsidRPr="00CF634B" w:rsidRDefault="00A732B5"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 Section 1. Definitions – “</w:t>
      </w:r>
      <w:r w:rsidRPr="00CF634B">
        <w:rPr>
          <w:rFonts w:asciiTheme="minorHAnsi" w:hAnsiTheme="minorHAnsi" w:cs="Calibri-Italic"/>
          <w:b/>
          <w:iCs/>
          <w:sz w:val="24"/>
          <w:szCs w:val="24"/>
        </w:rPr>
        <w:t>New Prescription Drug”</w:t>
      </w:r>
    </w:p>
    <w:p w14:paraId="67E0D0D7" w14:textId="1517F358" w:rsidR="005D425B" w:rsidRPr="00CF634B" w:rsidRDefault="005D425B" w:rsidP="005D425B">
      <w:pPr>
        <w:rPr>
          <w:rFonts w:asciiTheme="minorHAnsi" w:hAnsiTheme="minorHAnsi" w:cs="Arial"/>
          <w:sz w:val="24"/>
          <w:szCs w:val="24"/>
        </w:rPr>
      </w:pPr>
      <w:r w:rsidRPr="00CF634B">
        <w:rPr>
          <w:rFonts w:asciiTheme="minorHAnsi" w:hAnsiTheme="minorHAnsi" w:cs="Arial"/>
          <w:i/>
          <w:sz w:val="24"/>
          <w:szCs w:val="24"/>
        </w:rPr>
        <w:t>New Prescription Drug</w:t>
      </w:r>
      <w:r w:rsidRPr="00CF634B">
        <w:rPr>
          <w:rFonts w:asciiTheme="minorHAnsi" w:hAnsiTheme="minorHAnsi" w:cs="Arial"/>
          <w:sz w:val="24"/>
          <w:szCs w:val="24"/>
        </w:rPr>
        <w:t xml:space="preserve">: The definition of “new prescription drug” indicates that “each product listed on the application shall be considered a new prescription drug.” The term “new prescription drug” is only used to define a “new drug” for reporting purposes under 2.B.3. </w:t>
      </w:r>
      <w:r w:rsidR="00CD196E" w:rsidRPr="00CF634B">
        <w:rPr>
          <w:rFonts w:asciiTheme="minorHAnsi" w:hAnsiTheme="minorHAnsi" w:cs="Arial"/>
          <w:sz w:val="24"/>
          <w:szCs w:val="24"/>
        </w:rPr>
        <w:t>Like</w:t>
      </w:r>
      <w:r w:rsidRPr="00CF634B">
        <w:rPr>
          <w:rFonts w:asciiTheme="minorHAnsi" w:hAnsiTheme="minorHAnsi" w:cs="Arial"/>
          <w:sz w:val="24"/>
          <w:szCs w:val="24"/>
        </w:rPr>
        <w:t xml:space="preserve"> the concern raised above regarding the definition of national drug code, this approach will result in multiple, duplicative “Manufacturer Report </w:t>
      </w:r>
      <w:r w:rsidR="004D31AB" w:rsidRPr="00CF634B">
        <w:rPr>
          <w:rFonts w:asciiTheme="minorHAnsi" w:hAnsiTheme="minorHAnsi" w:cs="Arial"/>
          <w:sz w:val="24"/>
          <w:szCs w:val="24"/>
        </w:rPr>
        <w:t>for</w:t>
      </w:r>
      <w:r w:rsidRPr="00CF634B">
        <w:rPr>
          <w:rFonts w:asciiTheme="minorHAnsi" w:hAnsiTheme="minorHAnsi" w:cs="Arial"/>
          <w:sz w:val="24"/>
          <w:szCs w:val="24"/>
        </w:rPr>
        <w:t xml:space="preserve"> New Drugs” submissions.</w:t>
      </w:r>
    </w:p>
    <w:p w14:paraId="4DCE53B5" w14:textId="77777777" w:rsidR="00A732B5" w:rsidRPr="00CF634B" w:rsidRDefault="00A732B5" w:rsidP="005D046E">
      <w:pPr>
        <w:autoSpaceDE w:val="0"/>
        <w:autoSpaceDN w:val="0"/>
        <w:adjustRightInd w:val="0"/>
        <w:rPr>
          <w:rFonts w:asciiTheme="minorHAnsi" w:hAnsiTheme="minorHAnsi"/>
          <w:b/>
          <w:sz w:val="24"/>
          <w:szCs w:val="24"/>
        </w:rPr>
      </w:pPr>
    </w:p>
    <w:p w14:paraId="04A1BF8A" w14:textId="350329C4" w:rsidR="005D046E" w:rsidRPr="00CF634B" w:rsidRDefault="005D046E" w:rsidP="005D046E">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Section 8732 specifies that a manufacturer must provide notice when during the prior calendar year, the manufacturer has introduced a new prescription drug with a </w:t>
      </w:r>
      <w:r w:rsidRPr="00CF634B">
        <w:rPr>
          <w:rFonts w:asciiTheme="minorHAnsi" w:hAnsiTheme="minorHAnsi" w:cstheme="minorHAnsi"/>
          <w:sz w:val="24"/>
          <w:szCs w:val="24"/>
        </w:rPr>
        <w:t>wholesale acquisition cost greater than the amount that would cause the drug to be considered a specialty drug under the Medicare Part D program.  Th</w:t>
      </w:r>
      <w:r w:rsidRPr="00CF634B">
        <w:rPr>
          <w:rFonts w:asciiTheme="minorHAnsi" w:hAnsiTheme="minorHAnsi"/>
          <w:sz w:val="24"/>
          <w:szCs w:val="24"/>
        </w:rPr>
        <w:t>e wholesale acquisition cost of a drug product is applied at an NDC-11 level with variation by package size.  As such we disagree that reporting may occur at a level other than NDC-11.</w:t>
      </w:r>
    </w:p>
    <w:p w14:paraId="4C3DC848" w14:textId="77777777" w:rsidR="005D046E" w:rsidRPr="00CF634B" w:rsidRDefault="005D046E" w:rsidP="005D046E">
      <w:pPr>
        <w:autoSpaceDE w:val="0"/>
        <w:autoSpaceDN w:val="0"/>
        <w:adjustRightInd w:val="0"/>
        <w:rPr>
          <w:rFonts w:asciiTheme="minorHAnsi" w:hAnsiTheme="minorHAnsi"/>
          <w:sz w:val="24"/>
          <w:szCs w:val="24"/>
        </w:rPr>
      </w:pPr>
    </w:p>
    <w:p w14:paraId="79394001" w14:textId="60A37318" w:rsidR="005D046E" w:rsidRPr="00CF634B" w:rsidRDefault="00023874" w:rsidP="005D046E">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5D046E" w:rsidRPr="00CF634B">
        <w:rPr>
          <w:rFonts w:asciiTheme="minorHAnsi" w:hAnsiTheme="minorHAnsi"/>
          <w:b/>
          <w:sz w:val="24"/>
          <w:szCs w:val="24"/>
        </w:rPr>
        <w:t>Board Action:</w:t>
      </w:r>
      <w:r w:rsidR="005D046E" w:rsidRPr="00CF634B">
        <w:rPr>
          <w:rFonts w:asciiTheme="minorHAnsi" w:hAnsiTheme="minorHAnsi"/>
          <w:sz w:val="24"/>
          <w:szCs w:val="24"/>
        </w:rPr>
        <w:t xml:space="preserve">  No further action required.</w:t>
      </w:r>
    </w:p>
    <w:p w14:paraId="0262ABD5" w14:textId="77777777" w:rsidR="00CD196E" w:rsidRDefault="00CD196E" w:rsidP="005D425B">
      <w:pPr>
        <w:rPr>
          <w:rFonts w:asciiTheme="minorHAnsi" w:hAnsiTheme="minorHAnsi" w:cs="Arial"/>
          <w:b/>
          <w:sz w:val="24"/>
          <w:szCs w:val="24"/>
        </w:rPr>
      </w:pPr>
    </w:p>
    <w:p w14:paraId="2766E849" w14:textId="334F404D" w:rsidR="005D425B" w:rsidRPr="00CF634B" w:rsidRDefault="005D046E" w:rsidP="005D425B">
      <w:pPr>
        <w:rPr>
          <w:rFonts w:asciiTheme="minorHAnsi" w:hAnsiTheme="minorHAnsi" w:cs="Arial"/>
          <w:b/>
          <w:sz w:val="24"/>
          <w:szCs w:val="24"/>
        </w:rPr>
      </w:pPr>
      <w:r w:rsidRPr="00CF634B">
        <w:rPr>
          <w:rFonts w:asciiTheme="minorHAnsi" w:hAnsiTheme="minorHAnsi" w:cs="Arial"/>
          <w:b/>
          <w:sz w:val="24"/>
          <w:szCs w:val="24"/>
        </w:rPr>
        <w:t>C</w:t>
      </w:r>
      <w:r w:rsidR="005D425B" w:rsidRPr="00CF634B">
        <w:rPr>
          <w:rFonts w:asciiTheme="minorHAnsi" w:hAnsiTheme="minorHAnsi" w:cs="Arial"/>
          <w:b/>
          <w:sz w:val="24"/>
          <w:szCs w:val="24"/>
        </w:rPr>
        <w:t xml:space="preserve">omment </w:t>
      </w:r>
      <w:r w:rsidR="00A15C41" w:rsidRPr="00CF634B">
        <w:rPr>
          <w:rFonts w:asciiTheme="minorHAnsi" w:hAnsiTheme="minorHAnsi" w:cs="Arial"/>
          <w:b/>
          <w:sz w:val="24"/>
          <w:szCs w:val="24"/>
        </w:rPr>
        <w:t>-</w:t>
      </w:r>
      <w:r w:rsidR="005D425B" w:rsidRPr="00CF634B">
        <w:rPr>
          <w:rFonts w:asciiTheme="minorHAnsi" w:hAnsiTheme="minorHAnsi" w:cs="Arial"/>
          <w:b/>
          <w:sz w:val="24"/>
          <w:szCs w:val="24"/>
        </w:rPr>
        <w:t xml:space="preserve"> Section 2. Registration and Submission Requirements</w:t>
      </w:r>
      <w:r w:rsidRPr="00CF634B">
        <w:rPr>
          <w:rFonts w:asciiTheme="minorHAnsi" w:hAnsiTheme="minorHAnsi" w:cs="Arial"/>
          <w:b/>
          <w:sz w:val="24"/>
          <w:szCs w:val="24"/>
        </w:rPr>
        <w:t>-Narrative/Supplemental Information</w:t>
      </w:r>
    </w:p>
    <w:p w14:paraId="31E9FFED" w14:textId="77777777" w:rsidR="005D425B" w:rsidRPr="00CF634B" w:rsidRDefault="005D425B" w:rsidP="005D425B">
      <w:pPr>
        <w:rPr>
          <w:rFonts w:asciiTheme="minorHAnsi" w:hAnsiTheme="minorHAnsi" w:cs="Arial"/>
          <w:sz w:val="24"/>
          <w:szCs w:val="24"/>
        </w:rPr>
      </w:pPr>
      <w:r w:rsidRPr="00CF634B">
        <w:rPr>
          <w:rFonts w:asciiTheme="minorHAnsi" w:hAnsiTheme="minorHAnsi" w:cs="Arial"/>
          <w:sz w:val="24"/>
          <w:szCs w:val="24"/>
        </w:rPr>
        <w:t>Submission of reporting information through the MHDO web portal, as contemplated by the proposed rule (2.D), is preferred over other methods such as encrypted emails. However, many of the reporting requirements may not lend themselves clearly to single data points and could require narrative explanations (as is the standard in other state transparency laws) or allow reporters to voluntarily provide supplemental information. The proposed report seems to contemplate this with comment fields. However, the comment fields in the manufacturer reports appear limited to acquisition comments and do not clearly allow for narrative submissions more generally.</w:t>
      </w:r>
    </w:p>
    <w:p w14:paraId="5C3F82FD" w14:textId="0B911774" w:rsidR="00011D04" w:rsidRPr="00CF634B" w:rsidRDefault="00011D04" w:rsidP="00011D04">
      <w:pPr>
        <w:rPr>
          <w:rFonts w:asciiTheme="minorHAnsi" w:hAnsiTheme="minorHAnsi" w:cs="Arial"/>
          <w:sz w:val="24"/>
          <w:szCs w:val="24"/>
        </w:rPr>
      </w:pPr>
    </w:p>
    <w:p w14:paraId="3892148A" w14:textId="77777777" w:rsidR="005D046E" w:rsidRPr="00CF634B" w:rsidRDefault="005D425B" w:rsidP="005D425B">
      <w:pPr>
        <w:rPr>
          <w:rFonts w:asciiTheme="minorHAnsi" w:hAnsiTheme="minorHAnsi" w:cs="Arial"/>
          <w:sz w:val="24"/>
          <w:szCs w:val="24"/>
        </w:rPr>
      </w:pPr>
      <w:r w:rsidRPr="00CF634B">
        <w:rPr>
          <w:rFonts w:asciiTheme="minorHAnsi" w:hAnsiTheme="minorHAnsi" w:cs="Arial"/>
          <w:sz w:val="24"/>
          <w:szCs w:val="24"/>
        </w:rPr>
        <w:t xml:space="preserve">We urge MHDO to permit reporters to provide context for their submissions more generally in a field that allows for a narrative supplement. To the extent reporting will require multiple submissions (see NDC discussion above), the narrative supplement should be applicable across a product to ease reporting burden. </w:t>
      </w:r>
    </w:p>
    <w:p w14:paraId="04E38541" w14:textId="77777777" w:rsidR="005D046E" w:rsidRPr="00CF634B" w:rsidRDefault="005D046E" w:rsidP="005D425B">
      <w:pPr>
        <w:rPr>
          <w:rFonts w:asciiTheme="minorHAnsi" w:hAnsiTheme="minorHAnsi" w:cs="Arial"/>
          <w:sz w:val="24"/>
          <w:szCs w:val="24"/>
        </w:rPr>
      </w:pPr>
    </w:p>
    <w:p w14:paraId="523D1994" w14:textId="4397E6F2" w:rsidR="005D046E" w:rsidRPr="008D7AD2" w:rsidRDefault="005D046E" w:rsidP="005D046E">
      <w:pPr>
        <w:rPr>
          <w:rFonts w:asciiTheme="minorHAnsi" w:hAnsiTheme="minorHAnsi" w:cstheme="minorHAnsi"/>
          <w:sz w:val="24"/>
          <w:szCs w:val="24"/>
        </w:rPr>
      </w:pPr>
      <w:r w:rsidRPr="008D7AD2">
        <w:rPr>
          <w:rFonts w:asciiTheme="minorHAnsi" w:hAnsiTheme="minorHAnsi" w:cstheme="minorHAnsi"/>
          <w:b/>
          <w:sz w:val="24"/>
          <w:szCs w:val="24"/>
        </w:rPr>
        <w:t>MHDO</w:t>
      </w:r>
      <w:r w:rsidR="00023874" w:rsidRPr="008D7AD2">
        <w:rPr>
          <w:rFonts w:asciiTheme="minorHAnsi" w:hAnsiTheme="minorHAnsi" w:cstheme="minorHAnsi"/>
          <w:b/>
          <w:sz w:val="24"/>
          <w:szCs w:val="24"/>
        </w:rPr>
        <w:t xml:space="preserve"> Staff</w:t>
      </w:r>
      <w:r w:rsidRPr="008D7AD2">
        <w:rPr>
          <w:rFonts w:asciiTheme="minorHAnsi" w:hAnsiTheme="minorHAnsi" w:cstheme="minorHAnsi"/>
          <w:b/>
          <w:sz w:val="24"/>
          <w:szCs w:val="24"/>
        </w:rPr>
        <w:t xml:space="preserve"> Response:  </w:t>
      </w:r>
      <w:r w:rsidR="004E2998" w:rsidRPr="008D7AD2">
        <w:rPr>
          <w:rFonts w:asciiTheme="minorHAnsi" w:hAnsiTheme="minorHAnsi"/>
          <w:sz w:val="24"/>
          <w:szCs w:val="24"/>
        </w:rPr>
        <w:t>Add an</w:t>
      </w:r>
      <w:r w:rsidRPr="008D7AD2">
        <w:rPr>
          <w:rFonts w:asciiTheme="minorHAnsi" w:hAnsiTheme="minorHAnsi"/>
          <w:sz w:val="24"/>
          <w:szCs w:val="24"/>
        </w:rPr>
        <w:t xml:space="preserve"> additional data element to all Reporting Specifications sections for General Comments.  This data element will provide reporting entities with the option to include additional narrative descriptive information related to data submissions including any additional explanations or supplemental information that they wish to provide.  MHDO requires uniform data submission across all records; optional General Comments should be included for each data record to which the commentary applies.</w:t>
      </w:r>
    </w:p>
    <w:p w14:paraId="0D0B2094" w14:textId="77777777" w:rsidR="005D046E" w:rsidRPr="00CF634B" w:rsidRDefault="005D046E" w:rsidP="005D046E">
      <w:pPr>
        <w:rPr>
          <w:rFonts w:asciiTheme="minorHAnsi" w:hAnsiTheme="minorHAnsi" w:cstheme="minorHAnsi"/>
          <w:sz w:val="24"/>
          <w:szCs w:val="24"/>
          <w:highlight w:val="yellow"/>
        </w:rPr>
      </w:pPr>
    </w:p>
    <w:p w14:paraId="14B4BC50" w14:textId="6476FEFE" w:rsidR="005D046E" w:rsidRPr="00CF634B" w:rsidRDefault="00023874" w:rsidP="005D046E">
      <w:pPr>
        <w:rPr>
          <w:rFonts w:asciiTheme="minorHAnsi" w:hAnsiTheme="minorHAnsi" w:cs="Arial"/>
          <w:sz w:val="24"/>
          <w:szCs w:val="24"/>
        </w:rPr>
      </w:pPr>
      <w:r w:rsidRPr="00844B17">
        <w:rPr>
          <w:rFonts w:asciiTheme="minorHAnsi" w:hAnsiTheme="minorHAnsi" w:cs="Arial"/>
          <w:b/>
          <w:sz w:val="24"/>
          <w:szCs w:val="24"/>
        </w:rPr>
        <w:t>Recommended</w:t>
      </w:r>
      <w:r w:rsidRPr="00844B17">
        <w:rPr>
          <w:rFonts w:asciiTheme="minorHAnsi" w:hAnsiTheme="minorHAnsi"/>
          <w:b/>
          <w:sz w:val="24"/>
          <w:szCs w:val="24"/>
        </w:rPr>
        <w:t xml:space="preserve"> </w:t>
      </w:r>
      <w:r w:rsidR="005D046E" w:rsidRPr="00844B17">
        <w:rPr>
          <w:rFonts w:asciiTheme="minorHAnsi" w:hAnsiTheme="minorHAnsi"/>
          <w:b/>
          <w:sz w:val="24"/>
          <w:szCs w:val="24"/>
        </w:rPr>
        <w:t>Board Action:</w:t>
      </w:r>
      <w:r w:rsidR="005D046E" w:rsidRPr="00844B17">
        <w:rPr>
          <w:rFonts w:asciiTheme="minorHAnsi" w:hAnsiTheme="minorHAnsi"/>
          <w:sz w:val="24"/>
          <w:szCs w:val="24"/>
        </w:rPr>
        <w:t xml:space="preserve">  Amend Sections 2(</w:t>
      </w:r>
      <w:r w:rsidR="005D046E" w:rsidRPr="000D3392">
        <w:rPr>
          <w:rFonts w:asciiTheme="minorHAnsi" w:hAnsiTheme="minorHAnsi"/>
          <w:strike/>
          <w:sz w:val="24"/>
          <w:szCs w:val="24"/>
        </w:rPr>
        <w:t>I</w:t>
      </w:r>
      <w:r w:rsidR="004D31AB" w:rsidRPr="000D3392">
        <w:rPr>
          <w:rFonts w:asciiTheme="minorHAnsi" w:hAnsiTheme="minorHAnsi"/>
          <w:sz w:val="24"/>
          <w:szCs w:val="24"/>
          <w:u w:val="single"/>
        </w:rPr>
        <w:t>J</w:t>
      </w:r>
      <w:proofErr w:type="gramStart"/>
      <w:r w:rsidR="005D046E" w:rsidRPr="00844B17">
        <w:rPr>
          <w:rFonts w:asciiTheme="minorHAnsi" w:hAnsiTheme="minorHAnsi"/>
          <w:sz w:val="24"/>
          <w:szCs w:val="24"/>
        </w:rPr>
        <w:t>)(</w:t>
      </w:r>
      <w:proofErr w:type="gramEnd"/>
      <w:r w:rsidR="005D046E" w:rsidRPr="00844B17">
        <w:rPr>
          <w:rFonts w:asciiTheme="minorHAnsi" w:hAnsiTheme="minorHAnsi"/>
          <w:sz w:val="24"/>
          <w:szCs w:val="24"/>
        </w:rPr>
        <w:t xml:space="preserve">1), (2), (3), (4) to include an additional data element with Data Element Name “General Comments” and Description “Additional information related to the data submitted for this drug product, </w:t>
      </w:r>
      <w:r w:rsidR="005D046E" w:rsidRPr="0021746B">
        <w:rPr>
          <w:rFonts w:asciiTheme="minorHAnsi" w:hAnsiTheme="minorHAnsi"/>
          <w:sz w:val="24"/>
          <w:szCs w:val="24"/>
        </w:rPr>
        <w:t>if applicable</w:t>
      </w:r>
      <w:r w:rsidR="00D4051B" w:rsidRPr="0021746B">
        <w:rPr>
          <w:rFonts w:asciiTheme="minorHAnsi" w:hAnsiTheme="minorHAnsi"/>
          <w:sz w:val="24"/>
          <w:szCs w:val="24"/>
        </w:rPr>
        <w:t>”.</w:t>
      </w:r>
    </w:p>
    <w:p w14:paraId="26096110" w14:textId="059DD1AC" w:rsidR="005D046E" w:rsidRPr="00CF634B" w:rsidRDefault="005D046E" w:rsidP="005D425B">
      <w:pPr>
        <w:rPr>
          <w:rFonts w:asciiTheme="minorHAnsi" w:hAnsiTheme="minorHAnsi" w:cs="Arial"/>
          <w:sz w:val="24"/>
          <w:szCs w:val="24"/>
        </w:rPr>
      </w:pPr>
    </w:p>
    <w:p w14:paraId="72ADEC41" w14:textId="07D00758" w:rsidR="005D046E" w:rsidRPr="00CF634B" w:rsidRDefault="00A15C41" w:rsidP="005D046E">
      <w:pPr>
        <w:tabs>
          <w:tab w:val="left" w:pos="720"/>
          <w:tab w:val="left" w:pos="1440"/>
          <w:tab w:val="left" w:pos="1530"/>
          <w:tab w:val="left" w:pos="2880"/>
          <w:tab w:val="left" w:pos="3600"/>
          <w:tab w:val="left" w:pos="4320"/>
        </w:tabs>
        <w:rPr>
          <w:rFonts w:asciiTheme="minorHAnsi" w:hAnsiTheme="minorHAnsi" w:cs="Calibri"/>
          <w:b/>
          <w:sz w:val="24"/>
          <w:szCs w:val="24"/>
        </w:rPr>
      </w:pPr>
      <w:r w:rsidRPr="00CF634B">
        <w:rPr>
          <w:rFonts w:asciiTheme="minorHAnsi" w:hAnsiTheme="minorHAnsi" w:cs="Calibri"/>
          <w:b/>
          <w:sz w:val="24"/>
          <w:szCs w:val="24"/>
        </w:rPr>
        <w:t>Comment-</w:t>
      </w:r>
      <w:r w:rsidR="005D046E" w:rsidRPr="00CF634B">
        <w:rPr>
          <w:rFonts w:asciiTheme="minorHAnsi" w:hAnsiTheme="minorHAnsi" w:cs="Calibri"/>
          <w:b/>
          <w:sz w:val="24"/>
          <w:szCs w:val="24"/>
        </w:rPr>
        <w:t>Section 2. Registration and Submission Requirements – Multiple Cost Increase Factors</w:t>
      </w:r>
    </w:p>
    <w:p w14:paraId="77A1C56E" w14:textId="2D123CAA" w:rsidR="005D425B" w:rsidRPr="00CF634B" w:rsidRDefault="005D046E" w:rsidP="005D425B">
      <w:pPr>
        <w:rPr>
          <w:rFonts w:asciiTheme="minorHAnsi" w:hAnsiTheme="minorHAnsi" w:cs="Arial"/>
          <w:sz w:val="24"/>
          <w:szCs w:val="24"/>
        </w:rPr>
      </w:pPr>
      <w:r w:rsidRPr="00CF634B">
        <w:rPr>
          <w:rFonts w:asciiTheme="minorHAnsi" w:hAnsiTheme="minorHAnsi" w:cs="Arial"/>
          <w:sz w:val="24"/>
          <w:szCs w:val="24"/>
        </w:rPr>
        <w:t>We</w:t>
      </w:r>
      <w:r w:rsidR="005D425B" w:rsidRPr="00CF634B">
        <w:rPr>
          <w:rFonts w:asciiTheme="minorHAnsi" w:hAnsiTheme="minorHAnsi" w:cs="Arial"/>
          <w:sz w:val="24"/>
          <w:szCs w:val="24"/>
        </w:rPr>
        <w:t xml:space="preserve"> would like to confirm that reporting entities will be permitted to identify multiple cost increase factors in the Price Increase report.</w:t>
      </w:r>
    </w:p>
    <w:p w14:paraId="099F88DC" w14:textId="77777777" w:rsidR="005D046E" w:rsidRPr="00CF634B" w:rsidRDefault="005D046E" w:rsidP="005D046E">
      <w:pPr>
        <w:autoSpaceDE w:val="0"/>
        <w:autoSpaceDN w:val="0"/>
        <w:adjustRightInd w:val="0"/>
        <w:rPr>
          <w:rFonts w:asciiTheme="minorHAnsi" w:hAnsiTheme="minorHAnsi" w:cs="Calibri"/>
          <w:sz w:val="24"/>
          <w:szCs w:val="24"/>
        </w:rPr>
      </w:pPr>
    </w:p>
    <w:p w14:paraId="485217D1" w14:textId="1FBE2EAE" w:rsidR="005D046E" w:rsidRPr="00CF634B" w:rsidRDefault="005D046E" w:rsidP="005D046E">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w:t>
      </w:r>
      <w:r w:rsidR="004E2998">
        <w:rPr>
          <w:rFonts w:asciiTheme="minorHAnsi" w:hAnsiTheme="minorHAnsi"/>
          <w:sz w:val="24"/>
          <w:szCs w:val="24"/>
        </w:rPr>
        <w:t xml:space="preserve">Confirmed.  </w:t>
      </w:r>
      <w:r w:rsidRPr="00CF634B">
        <w:rPr>
          <w:rFonts w:asciiTheme="minorHAnsi" w:hAnsiTheme="minorHAnsi"/>
          <w:sz w:val="24"/>
          <w:szCs w:val="24"/>
        </w:rPr>
        <w:t xml:space="preserve">Manufacturers </w:t>
      </w:r>
      <w:r w:rsidR="004E2998">
        <w:rPr>
          <w:rFonts w:asciiTheme="minorHAnsi" w:hAnsiTheme="minorHAnsi"/>
          <w:sz w:val="24"/>
          <w:szCs w:val="24"/>
        </w:rPr>
        <w:t>are permitted to identify</w:t>
      </w:r>
      <w:r w:rsidRPr="00CF634B">
        <w:rPr>
          <w:rFonts w:asciiTheme="minorHAnsi" w:hAnsiTheme="minorHAnsi"/>
          <w:sz w:val="24"/>
          <w:szCs w:val="24"/>
        </w:rPr>
        <w:t xml:space="preserve"> multiple cost increase factors in the Manufacturer Report for Price Increases.</w:t>
      </w:r>
    </w:p>
    <w:p w14:paraId="10689A19" w14:textId="77777777" w:rsidR="005D046E" w:rsidRPr="00CF634B" w:rsidRDefault="005D046E" w:rsidP="005D046E">
      <w:pPr>
        <w:autoSpaceDE w:val="0"/>
        <w:autoSpaceDN w:val="0"/>
        <w:adjustRightInd w:val="0"/>
        <w:rPr>
          <w:rFonts w:asciiTheme="minorHAnsi" w:hAnsiTheme="minorHAnsi"/>
          <w:sz w:val="24"/>
          <w:szCs w:val="24"/>
        </w:rPr>
      </w:pPr>
    </w:p>
    <w:p w14:paraId="17EC7D83" w14:textId="725981AC" w:rsidR="005D046E" w:rsidRPr="00CF634B" w:rsidRDefault="00023874" w:rsidP="005D046E">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5D046E" w:rsidRPr="00CF634B">
        <w:rPr>
          <w:rFonts w:asciiTheme="minorHAnsi" w:hAnsiTheme="minorHAnsi"/>
          <w:b/>
          <w:sz w:val="24"/>
          <w:szCs w:val="24"/>
        </w:rPr>
        <w:t>Board Action:</w:t>
      </w:r>
      <w:r w:rsidR="005D046E" w:rsidRPr="00CF634B">
        <w:rPr>
          <w:rFonts w:asciiTheme="minorHAnsi" w:hAnsiTheme="minorHAnsi"/>
          <w:sz w:val="24"/>
          <w:szCs w:val="24"/>
        </w:rPr>
        <w:t xml:space="preserve">  No further action required.</w:t>
      </w:r>
    </w:p>
    <w:p w14:paraId="70CD4596" w14:textId="77777777" w:rsidR="00844B17" w:rsidRDefault="00844B17" w:rsidP="00A732B5">
      <w:pPr>
        <w:autoSpaceDE w:val="0"/>
        <w:autoSpaceDN w:val="0"/>
        <w:adjustRightInd w:val="0"/>
        <w:rPr>
          <w:rFonts w:asciiTheme="minorHAnsi" w:hAnsiTheme="minorHAnsi" w:cs="Calibri"/>
          <w:b/>
          <w:sz w:val="24"/>
          <w:szCs w:val="24"/>
        </w:rPr>
      </w:pPr>
    </w:p>
    <w:p w14:paraId="36206640" w14:textId="51BD936B" w:rsidR="00A732B5" w:rsidRPr="00CF634B" w:rsidRDefault="00A15C41"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Timeframe for Deficiency Correction</w:t>
      </w:r>
    </w:p>
    <w:p w14:paraId="29055FB4" w14:textId="0D1D0BD1" w:rsidR="005D425B" w:rsidRPr="00CF634B" w:rsidRDefault="005D425B" w:rsidP="005D425B">
      <w:pPr>
        <w:rPr>
          <w:rFonts w:asciiTheme="minorHAnsi" w:hAnsiTheme="minorHAnsi" w:cs="Arial"/>
          <w:sz w:val="24"/>
          <w:szCs w:val="24"/>
        </w:rPr>
      </w:pPr>
      <w:r w:rsidRPr="00CF634B">
        <w:rPr>
          <w:rFonts w:asciiTheme="minorHAnsi" w:hAnsiTheme="minorHAnsi" w:cs="Arial"/>
          <w:sz w:val="24"/>
          <w:szCs w:val="24"/>
        </w:rPr>
        <w:t>The proposed rule includes a timeframe for deficiency correction of 10 days that is far too short and inconsistent with existing requirements imposed on other reporters. Other MHDO regulations require file format deficiency corrections within 15 days (e.g. Chapters 241, 243) and more substantive corrections include windows up to 30 days (e.g. Chapter 300(4)(C). Challenges faced by reporters under this proposed rule are likely to be more complex than file formatting issues, especially in the first few reporting cycles, so the 30 days afforded other reporters should be included in this proposed rule. The window to correct deficiencies should not be shorter for reporters under this rule than it is for other reporters to MHDO.</w:t>
      </w:r>
    </w:p>
    <w:p w14:paraId="3AE2CE70" w14:textId="77777777" w:rsidR="00A732B5" w:rsidRPr="00CF634B" w:rsidRDefault="00A732B5" w:rsidP="00A732B5">
      <w:pPr>
        <w:autoSpaceDE w:val="0"/>
        <w:autoSpaceDN w:val="0"/>
        <w:adjustRightInd w:val="0"/>
        <w:rPr>
          <w:rFonts w:asciiTheme="minorHAnsi" w:hAnsiTheme="minorHAnsi" w:cs="Calibri"/>
          <w:sz w:val="24"/>
          <w:szCs w:val="24"/>
        </w:rPr>
      </w:pPr>
    </w:p>
    <w:p w14:paraId="5D64DE14" w14:textId="45E0BD2D" w:rsidR="00260A0D" w:rsidRDefault="00A732B5" w:rsidP="00D4051B">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w:t>
      </w:r>
      <w:r w:rsidR="00260A0D" w:rsidRPr="00CF634B">
        <w:rPr>
          <w:rFonts w:asciiTheme="minorHAnsi" w:hAnsiTheme="minorHAnsi" w:cstheme="minorHAnsi"/>
          <w:b/>
          <w:sz w:val="24"/>
          <w:szCs w:val="24"/>
        </w:rPr>
        <w:t xml:space="preserve">Response: </w:t>
      </w:r>
      <w:r w:rsidR="004E2998">
        <w:rPr>
          <w:rFonts w:asciiTheme="minorHAnsi" w:hAnsiTheme="minorHAnsi" w:cstheme="minorHAnsi"/>
          <w:sz w:val="24"/>
          <w:szCs w:val="24"/>
        </w:rPr>
        <w:t>Revise</w:t>
      </w:r>
      <w:r w:rsidR="00260A0D" w:rsidRPr="00CD196E">
        <w:rPr>
          <w:rFonts w:asciiTheme="minorHAnsi" w:hAnsiTheme="minorHAnsi" w:cstheme="minorHAnsi"/>
          <w:sz w:val="24"/>
          <w:szCs w:val="24"/>
        </w:rPr>
        <w:t xml:space="preserve"> the timeframe for deficiency as requested from 10 days to 30 days.</w:t>
      </w:r>
    </w:p>
    <w:p w14:paraId="59C64D53" w14:textId="77777777" w:rsidR="00EC6122" w:rsidRDefault="00EC6122" w:rsidP="00D4051B">
      <w:pPr>
        <w:rPr>
          <w:rFonts w:asciiTheme="minorHAnsi" w:hAnsiTheme="minorHAnsi" w:cstheme="minorHAnsi"/>
          <w:sz w:val="24"/>
          <w:szCs w:val="24"/>
        </w:rPr>
      </w:pPr>
    </w:p>
    <w:p w14:paraId="4CD0C863" w14:textId="77777777" w:rsidR="00D4051B" w:rsidRPr="00D4051B" w:rsidRDefault="00D4051B" w:rsidP="00D4051B">
      <w:pPr>
        <w:rPr>
          <w:rFonts w:asciiTheme="minorHAnsi" w:hAnsiTheme="minorHAnsi" w:cstheme="minorHAnsi"/>
          <w:sz w:val="24"/>
          <w:szCs w:val="24"/>
        </w:rPr>
      </w:pPr>
    </w:p>
    <w:p w14:paraId="50DF1A81" w14:textId="31D571AE" w:rsidR="00E50011" w:rsidRDefault="00023874" w:rsidP="00260A0D">
      <w:pPr>
        <w:rPr>
          <w:rFonts w:asciiTheme="minorHAnsi" w:hAnsiTheme="minorHAnsi"/>
          <w:sz w:val="24"/>
          <w:szCs w:val="24"/>
        </w:rPr>
      </w:pPr>
      <w:r w:rsidRPr="00CD196E">
        <w:rPr>
          <w:rFonts w:asciiTheme="minorHAnsi" w:hAnsiTheme="minorHAnsi"/>
          <w:b/>
          <w:sz w:val="24"/>
          <w:szCs w:val="24"/>
        </w:rPr>
        <w:t>Recommended Board Action</w:t>
      </w:r>
      <w:r w:rsidRPr="00CF634B">
        <w:rPr>
          <w:rFonts w:asciiTheme="minorHAnsi" w:hAnsiTheme="minorHAnsi"/>
          <w:sz w:val="24"/>
          <w:szCs w:val="24"/>
        </w:rPr>
        <w:t>:</w:t>
      </w:r>
      <w:r w:rsidR="00A732B5" w:rsidRPr="00CF634B">
        <w:rPr>
          <w:rFonts w:asciiTheme="minorHAnsi" w:hAnsiTheme="minorHAnsi"/>
          <w:sz w:val="24"/>
          <w:szCs w:val="24"/>
        </w:rPr>
        <w:t xml:space="preserve"> </w:t>
      </w:r>
      <w:r w:rsidR="00260A0D" w:rsidRPr="00CF634B">
        <w:rPr>
          <w:rFonts w:asciiTheme="minorHAnsi" w:hAnsiTheme="minorHAnsi"/>
          <w:sz w:val="24"/>
          <w:szCs w:val="24"/>
        </w:rPr>
        <w:t xml:space="preserve">Revise </w:t>
      </w:r>
      <w:r w:rsidR="002D17BA">
        <w:rPr>
          <w:rFonts w:asciiTheme="minorHAnsi" w:hAnsiTheme="minorHAnsi"/>
          <w:sz w:val="24"/>
          <w:szCs w:val="24"/>
        </w:rPr>
        <w:t xml:space="preserve">Sections </w:t>
      </w:r>
      <w:r w:rsidR="00260A0D" w:rsidRPr="00CF634B">
        <w:rPr>
          <w:rFonts w:asciiTheme="minorHAnsi" w:hAnsiTheme="minorHAnsi"/>
          <w:sz w:val="24"/>
          <w:szCs w:val="24"/>
        </w:rPr>
        <w:t>2</w:t>
      </w:r>
      <w:r w:rsidR="004D31AB">
        <w:rPr>
          <w:rFonts w:asciiTheme="minorHAnsi" w:hAnsiTheme="minorHAnsi"/>
          <w:sz w:val="24"/>
          <w:szCs w:val="24"/>
        </w:rPr>
        <w:t>.</w:t>
      </w:r>
      <w:r w:rsidR="00260A0D" w:rsidRPr="00CF634B">
        <w:rPr>
          <w:rFonts w:asciiTheme="minorHAnsi" w:hAnsiTheme="minorHAnsi"/>
          <w:sz w:val="24"/>
          <w:szCs w:val="24"/>
        </w:rPr>
        <w:t>H</w:t>
      </w:r>
      <w:r w:rsidR="004D31AB">
        <w:rPr>
          <w:rFonts w:asciiTheme="minorHAnsi" w:hAnsiTheme="minorHAnsi"/>
          <w:sz w:val="24"/>
          <w:szCs w:val="24"/>
        </w:rPr>
        <w:t>.</w:t>
      </w:r>
      <w:r w:rsidR="002D17BA">
        <w:rPr>
          <w:rFonts w:asciiTheme="minorHAnsi" w:hAnsiTheme="minorHAnsi"/>
          <w:sz w:val="24"/>
          <w:szCs w:val="24"/>
        </w:rPr>
        <w:t xml:space="preserve"> and </w:t>
      </w:r>
      <w:r w:rsidR="00D4051B">
        <w:rPr>
          <w:rFonts w:asciiTheme="minorHAnsi" w:hAnsiTheme="minorHAnsi"/>
          <w:sz w:val="24"/>
          <w:szCs w:val="24"/>
        </w:rPr>
        <w:t>3</w:t>
      </w:r>
      <w:r w:rsidR="004D31AB">
        <w:rPr>
          <w:rFonts w:asciiTheme="minorHAnsi" w:hAnsiTheme="minorHAnsi"/>
          <w:sz w:val="24"/>
          <w:szCs w:val="24"/>
        </w:rPr>
        <w:t>.</w:t>
      </w:r>
      <w:r w:rsidR="00D4051B">
        <w:rPr>
          <w:rFonts w:asciiTheme="minorHAnsi" w:hAnsiTheme="minorHAnsi"/>
          <w:sz w:val="24"/>
          <w:szCs w:val="24"/>
        </w:rPr>
        <w:t>C</w:t>
      </w:r>
      <w:r w:rsidR="004D31AB">
        <w:rPr>
          <w:rFonts w:asciiTheme="minorHAnsi" w:hAnsiTheme="minorHAnsi"/>
          <w:sz w:val="24"/>
          <w:szCs w:val="24"/>
        </w:rPr>
        <w:t>.</w:t>
      </w:r>
      <w:r w:rsidR="00D4051B">
        <w:rPr>
          <w:rFonts w:asciiTheme="minorHAnsi" w:hAnsiTheme="minorHAnsi"/>
          <w:sz w:val="24"/>
          <w:szCs w:val="24"/>
        </w:rPr>
        <w:t xml:space="preserve"> </w:t>
      </w:r>
      <w:r w:rsidR="00260A0D" w:rsidRPr="00CF634B">
        <w:rPr>
          <w:rFonts w:asciiTheme="minorHAnsi" w:hAnsiTheme="minorHAnsi"/>
          <w:sz w:val="24"/>
          <w:szCs w:val="24"/>
        </w:rPr>
        <w:t>as follows:</w:t>
      </w:r>
    </w:p>
    <w:p w14:paraId="4828D156" w14:textId="77777777" w:rsidR="00E50011" w:rsidRPr="00CF634B" w:rsidRDefault="00E50011" w:rsidP="00260A0D">
      <w:pPr>
        <w:rPr>
          <w:rFonts w:asciiTheme="minorHAnsi" w:hAnsiTheme="minorHAnsi"/>
          <w:sz w:val="24"/>
          <w:szCs w:val="24"/>
        </w:rPr>
      </w:pPr>
    </w:p>
    <w:p w14:paraId="020A8DED" w14:textId="6A9221A1" w:rsidR="00260A0D" w:rsidRPr="00D4051B" w:rsidRDefault="00D4051B" w:rsidP="00D4051B">
      <w:pPr>
        <w:ind w:left="720"/>
        <w:rPr>
          <w:rFonts w:asciiTheme="minorHAnsi" w:hAnsiTheme="minorHAnsi"/>
          <w:sz w:val="24"/>
          <w:szCs w:val="24"/>
        </w:rPr>
      </w:pPr>
      <w:r w:rsidRPr="00E50011">
        <w:rPr>
          <w:rFonts w:asciiTheme="minorHAnsi" w:hAnsiTheme="minorHAnsi"/>
          <w:b/>
          <w:sz w:val="24"/>
          <w:szCs w:val="24"/>
        </w:rPr>
        <w:t>2</w:t>
      </w:r>
      <w:r w:rsidR="00E50011" w:rsidRPr="00E50011">
        <w:rPr>
          <w:rFonts w:asciiTheme="minorHAnsi" w:hAnsiTheme="minorHAnsi"/>
          <w:b/>
          <w:sz w:val="24"/>
          <w:szCs w:val="24"/>
        </w:rPr>
        <w:t>.</w:t>
      </w:r>
      <w:r w:rsidR="00260A0D" w:rsidRPr="00E50011">
        <w:rPr>
          <w:rFonts w:asciiTheme="minorHAnsi" w:hAnsiTheme="minorHAnsi"/>
          <w:b/>
          <w:sz w:val="24"/>
          <w:szCs w:val="24"/>
        </w:rPr>
        <w:t>H.  Rejection of Submissions</w:t>
      </w:r>
      <w:r w:rsidR="00260A0D" w:rsidRPr="00D4051B">
        <w:rPr>
          <w:rFonts w:asciiTheme="minorHAnsi" w:hAnsiTheme="minorHAnsi"/>
          <w:sz w:val="24"/>
          <w:szCs w:val="24"/>
        </w:rPr>
        <w:t xml:space="preserve">. Failure to conform to the requirements of subsections D, E or F of this Section shall result in the rejection of the data file(s). All rejected files must be corrected and resubmitted to the MHDO or its designee within </w:t>
      </w:r>
      <w:r w:rsidR="00F215D0" w:rsidRPr="00EB0335">
        <w:rPr>
          <w:rFonts w:asciiTheme="minorHAnsi" w:hAnsiTheme="minorHAnsi"/>
          <w:strike/>
          <w:sz w:val="24"/>
          <w:szCs w:val="24"/>
        </w:rPr>
        <w:t>10</w:t>
      </w:r>
      <w:r w:rsidR="00260A0D" w:rsidRPr="00D4051B">
        <w:rPr>
          <w:rFonts w:asciiTheme="minorHAnsi" w:hAnsiTheme="minorHAnsi"/>
          <w:sz w:val="24"/>
          <w:szCs w:val="24"/>
        </w:rPr>
        <w:t>-</w:t>
      </w:r>
      <w:r w:rsidR="00260A0D" w:rsidRPr="003F1651">
        <w:rPr>
          <w:rFonts w:asciiTheme="minorHAnsi" w:hAnsiTheme="minorHAnsi"/>
          <w:sz w:val="24"/>
          <w:szCs w:val="24"/>
          <w:u w:val="single"/>
        </w:rPr>
        <w:t>30</w:t>
      </w:r>
      <w:r w:rsidR="00260A0D" w:rsidRPr="00D4051B">
        <w:rPr>
          <w:rFonts w:asciiTheme="minorHAnsi" w:hAnsiTheme="minorHAnsi"/>
          <w:sz w:val="24"/>
          <w:szCs w:val="24"/>
        </w:rPr>
        <w:t xml:space="preserve"> days.</w:t>
      </w:r>
    </w:p>
    <w:p w14:paraId="2E28377F" w14:textId="5826A5C1" w:rsidR="00260A0D" w:rsidRPr="00CF634B" w:rsidRDefault="00D4051B" w:rsidP="00D4051B">
      <w:pPr>
        <w:pStyle w:val="DefaultText"/>
        <w:widowControl/>
        <w:tabs>
          <w:tab w:val="left" w:pos="720"/>
          <w:tab w:val="left" w:pos="1440"/>
          <w:tab w:val="left" w:pos="2160"/>
          <w:tab w:val="left" w:pos="2340"/>
          <w:tab w:val="left" w:pos="3600"/>
          <w:tab w:val="left" w:pos="4320"/>
        </w:tabs>
        <w:ind w:left="720"/>
        <w:rPr>
          <w:rFonts w:asciiTheme="minorHAnsi" w:hAnsiTheme="minorHAnsi"/>
          <w:szCs w:val="24"/>
        </w:rPr>
      </w:pPr>
      <w:r w:rsidRPr="00E50011">
        <w:rPr>
          <w:rFonts w:asciiTheme="minorHAnsi" w:hAnsiTheme="minorHAnsi"/>
          <w:b/>
          <w:szCs w:val="24"/>
        </w:rPr>
        <w:t>3</w:t>
      </w:r>
      <w:r w:rsidR="00E50011">
        <w:rPr>
          <w:rFonts w:asciiTheme="minorHAnsi" w:hAnsiTheme="minorHAnsi"/>
          <w:b/>
          <w:szCs w:val="24"/>
        </w:rPr>
        <w:t>.</w:t>
      </w:r>
      <w:r w:rsidR="00260A0D" w:rsidRPr="00E50011">
        <w:rPr>
          <w:rFonts w:asciiTheme="minorHAnsi" w:hAnsiTheme="minorHAnsi"/>
          <w:b/>
          <w:szCs w:val="24"/>
        </w:rPr>
        <w:t>C.</w:t>
      </w:r>
      <w:r w:rsidR="00E50011">
        <w:rPr>
          <w:rFonts w:asciiTheme="minorHAnsi" w:hAnsiTheme="minorHAnsi"/>
          <w:b/>
          <w:szCs w:val="24"/>
        </w:rPr>
        <w:t xml:space="preserve"> </w:t>
      </w:r>
      <w:r w:rsidR="00260A0D" w:rsidRPr="00E50011">
        <w:rPr>
          <w:rFonts w:asciiTheme="minorHAnsi" w:hAnsiTheme="minorHAnsi"/>
          <w:b/>
          <w:szCs w:val="24"/>
        </w:rPr>
        <w:t xml:space="preserve"> Response</w:t>
      </w:r>
      <w:r w:rsidR="00260A0D" w:rsidRPr="00CD196E">
        <w:rPr>
          <w:rFonts w:asciiTheme="minorHAnsi" w:hAnsiTheme="minorHAnsi"/>
          <w:szCs w:val="24"/>
        </w:rPr>
        <w:t>.</w:t>
      </w:r>
      <w:r w:rsidR="00260A0D" w:rsidRPr="00CF634B">
        <w:rPr>
          <w:rFonts w:asciiTheme="minorHAnsi" w:hAnsiTheme="minorHAnsi"/>
          <w:szCs w:val="24"/>
        </w:rPr>
        <w:t xml:space="preserve"> Each reporting entity notified under subsection 3(B) will respond within </w:t>
      </w:r>
      <w:r w:rsidR="009D54CA" w:rsidRPr="00D55364">
        <w:rPr>
          <w:rFonts w:asciiTheme="minorHAnsi" w:hAnsiTheme="minorHAnsi"/>
          <w:strike/>
          <w:szCs w:val="24"/>
        </w:rPr>
        <w:t>10</w:t>
      </w:r>
      <w:r w:rsidR="009D54CA">
        <w:rPr>
          <w:rFonts w:asciiTheme="minorHAnsi" w:hAnsiTheme="minorHAnsi"/>
          <w:szCs w:val="24"/>
          <w:u w:val="single"/>
        </w:rPr>
        <w:t xml:space="preserve"> </w:t>
      </w:r>
      <w:r w:rsidR="00260A0D" w:rsidRPr="00D55364">
        <w:rPr>
          <w:rFonts w:asciiTheme="minorHAnsi" w:hAnsiTheme="minorHAnsi"/>
          <w:szCs w:val="24"/>
          <w:u w:val="single"/>
        </w:rPr>
        <w:t>30</w:t>
      </w:r>
      <w:r w:rsidR="00260A0D" w:rsidRPr="00CF634B">
        <w:rPr>
          <w:rFonts w:asciiTheme="minorHAnsi" w:hAnsiTheme="minorHAnsi"/>
          <w:szCs w:val="24"/>
        </w:rPr>
        <w:t xml:space="preserve"> days of the notification by making and reporting the changes necessary to satisfy the standards.</w:t>
      </w:r>
    </w:p>
    <w:p w14:paraId="58953E04" w14:textId="65AA06C8" w:rsidR="00CA0B80" w:rsidRPr="00CF634B" w:rsidRDefault="00CA0B80" w:rsidP="00A732B5">
      <w:pPr>
        <w:autoSpaceDE w:val="0"/>
        <w:autoSpaceDN w:val="0"/>
        <w:adjustRightInd w:val="0"/>
        <w:rPr>
          <w:rFonts w:asciiTheme="minorHAnsi" w:hAnsiTheme="minorHAnsi" w:cs="Calibri"/>
          <w:b/>
          <w:sz w:val="24"/>
          <w:szCs w:val="24"/>
        </w:rPr>
      </w:pPr>
    </w:p>
    <w:p w14:paraId="7083AB6D" w14:textId="3F97B455" w:rsidR="00A732B5" w:rsidRPr="00CF634B" w:rsidRDefault="00A15C41" w:rsidP="00A732B5">
      <w:pPr>
        <w:autoSpaceDE w:val="0"/>
        <w:autoSpaceDN w:val="0"/>
        <w:adjustRightInd w:val="0"/>
        <w:rPr>
          <w:rFonts w:asciiTheme="minorHAnsi" w:hAnsiTheme="minorHAnsi" w:cs="Calibri"/>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Clarification that Acquisition Data pertains to drugs on the market when acquired.</w:t>
      </w:r>
    </w:p>
    <w:p w14:paraId="405DCEA7" w14:textId="0E1A33EB" w:rsidR="00921933" w:rsidRPr="00CF634B" w:rsidRDefault="00921933" w:rsidP="00921933">
      <w:pPr>
        <w:rPr>
          <w:rFonts w:asciiTheme="minorHAnsi" w:hAnsiTheme="minorHAnsi" w:cs="Arial"/>
          <w:sz w:val="24"/>
          <w:szCs w:val="24"/>
        </w:rPr>
      </w:pPr>
      <w:r w:rsidRPr="00CF634B">
        <w:rPr>
          <w:rFonts w:asciiTheme="minorHAnsi" w:hAnsiTheme="minorHAnsi" w:cs="Arial"/>
          <w:sz w:val="24"/>
          <w:szCs w:val="24"/>
        </w:rPr>
        <w:t>Both the Manufacturer Report for New Drugs and the Manufacturer Report for Price Increase request information related to acquisition if the drug product was acquired in the previous five years. While “drug product” is not defined in either the proposed rule or the statute, every other instance in which it is used contemplates a product that is on the market. To avoid confusion, especially because reporting entities are not permitted to use “data not available” or “data unknown” in reporting fields, all report fields related to acquisition should clarify they are only applicable to drugs that were on the market when acquired. This is important to ensure meaningful and consistent reporting. Quantifying information for a single product as it relates to a pipeline or whole company acquisition that may eventually lead to a future product is imprecise at best and implicates highly confidential information.</w:t>
      </w:r>
    </w:p>
    <w:p w14:paraId="1E46669C" w14:textId="359490E4" w:rsidR="00A732B5" w:rsidRPr="00CF634B" w:rsidRDefault="00A732B5" w:rsidP="00921933">
      <w:pPr>
        <w:rPr>
          <w:rFonts w:asciiTheme="minorHAnsi" w:hAnsiTheme="minorHAnsi" w:cs="Arial"/>
          <w:sz w:val="24"/>
          <w:szCs w:val="24"/>
        </w:rPr>
      </w:pPr>
    </w:p>
    <w:p w14:paraId="2D9A9977" w14:textId="713FF6C0" w:rsidR="00A732B5" w:rsidRPr="00CF634B" w:rsidRDefault="00A732B5" w:rsidP="00A732B5">
      <w:pPr>
        <w:autoSpaceDE w:val="0"/>
        <w:autoSpaceDN w:val="0"/>
        <w:adjustRightInd w:val="0"/>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Pr="00CF634B">
        <w:rPr>
          <w:rFonts w:asciiTheme="minorHAnsi" w:hAnsiTheme="minorHAnsi" w:cstheme="minorHAnsi"/>
          <w:sz w:val="24"/>
          <w:szCs w:val="24"/>
        </w:rPr>
        <w:t>MHDO agrees that drug product acquisition data related to wholesale acquisition cost on or prior to the date of acquisition, specifically Section 2(</w:t>
      </w:r>
      <w:r w:rsidR="005B1EC6" w:rsidRPr="005B1EC6">
        <w:rPr>
          <w:rFonts w:asciiTheme="minorHAnsi" w:hAnsiTheme="minorHAnsi" w:cstheme="minorHAnsi"/>
          <w:strike/>
          <w:sz w:val="24"/>
          <w:szCs w:val="24"/>
        </w:rPr>
        <w:t>I</w:t>
      </w:r>
      <w:r w:rsidR="005B1EC6" w:rsidRPr="005B1EC6">
        <w:rPr>
          <w:rFonts w:asciiTheme="minorHAnsi" w:hAnsiTheme="minorHAnsi" w:cstheme="minorHAnsi"/>
          <w:sz w:val="24"/>
          <w:szCs w:val="24"/>
          <w:u w:val="single"/>
        </w:rPr>
        <w:t>J</w:t>
      </w:r>
      <w:r w:rsidRPr="00CF634B">
        <w:rPr>
          <w:rFonts w:asciiTheme="minorHAnsi" w:hAnsiTheme="minorHAnsi" w:cstheme="minorHAnsi"/>
          <w:sz w:val="24"/>
          <w:szCs w:val="24"/>
        </w:rPr>
        <w:t xml:space="preserve">),(2) “WAC at Acquisition”, and “WAC One Year Prior to Acquisition”, need only be provided for drug products that were available for distribution in the State of Maine at the time of acquisition and </w:t>
      </w:r>
      <w:r w:rsidR="004E2998">
        <w:rPr>
          <w:rFonts w:asciiTheme="minorHAnsi" w:hAnsiTheme="minorHAnsi" w:cstheme="minorHAnsi"/>
          <w:sz w:val="24"/>
          <w:szCs w:val="24"/>
        </w:rPr>
        <w:t>suggests incorporating</w:t>
      </w:r>
      <w:r w:rsidRPr="00CF634B">
        <w:rPr>
          <w:rFonts w:asciiTheme="minorHAnsi" w:hAnsiTheme="minorHAnsi" w:cstheme="minorHAnsi"/>
          <w:sz w:val="24"/>
          <w:szCs w:val="24"/>
        </w:rPr>
        <w:t xml:space="preserve"> clarifying language into Section 2 – Registration and Submission Requirements.  All other data elements related to drug product acquisition must be reported.</w:t>
      </w:r>
    </w:p>
    <w:p w14:paraId="1EFE3C5B" w14:textId="77777777" w:rsidR="00A732B5" w:rsidRPr="00CF634B" w:rsidRDefault="00A732B5" w:rsidP="00A732B5">
      <w:pPr>
        <w:autoSpaceDE w:val="0"/>
        <w:autoSpaceDN w:val="0"/>
        <w:adjustRightInd w:val="0"/>
        <w:rPr>
          <w:rFonts w:asciiTheme="minorHAnsi" w:hAnsiTheme="minorHAnsi" w:cstheme="minorHAnsi"/>
          <w:sz w:val="24"/>
          <w:szCs w:val="24"/>
        </w:rPr>
      </w:pPr>
    </w:p>
    <w:p w14:paraId="1A5E2589" w14:textId="7101BD02" w:rsidR="00A732B5" w:rsidRPr="00CF634B" w:rsidRDefault="00023874" w:rsidP="00A732B5">
      <w:pPr>
        <w:autoSpaceDE w:val="0"/>
        <w:autoSpaceDN w:val="0"/>
        <w:adjustRightInd w:val="0"/>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cstheme="minorHAnsi"/>
          <w:b/>
          <w:sz w:val="24"/>
          <w:szCs w:val="24"/>
        </w:rPr>
        <w:t xml:space="preserve"> </w:t>
      </w:r>
      <w:r w:rsidR="00A732B5" w:rsidRPr="00CF634B">
        <w:rPr>
          <w:rFonts w:asciiTheme="minorHAnsi" w:hAnsiTheme="minorHAnsi" w:cstheme="minorHAnsi"/>
          <w:b/>
          <w:sz w:val="24"/>
          <w:szCs w:val="24"/>
        </w:rPr>
        <w:t xml:space="preserve">Board Action:  </w:t>
      </w:r>
      <w:r w:rsidR="00A732B5" w:rsidRPr="00CF634B">
        <w:rPr>
          <w:rFonts w:asciiTheme="minorHAnsi" w:hAnsiTheme="minorHAnsi" w:cstheme="minorHAnsi"/>
          <w:sz w:val="24"/>
          <w:szCs w:val="24"/>
        </w:rPr>
        <w:t xml:space="preserve">Amend the Descriptions provided in Section </w:t>
      </w:r>
      <w:r w:rsidR="00A732B5" w:rsidRPr="000502BF">
        <w:rPr>
          <w:rFonts w:asciiTheme="minorHAnsi" w:hAnsiTheme="minorHAnsi" w:cstheme="minorHAnsi"/>
          <w:sz w:val="24"/>
          <w:szCs w:val="24"/>
        </w:rPr>
        <w:t>2(</w:t>
      </w:r>
      <w:r w:rsidR="00A732B5" w:rsidRPr="005D7DF4">
        <w:rPr>
          <w:rFonts w:asciiTheme="minorHAnsi" w:hAnsiTheme="minorHAnsi" w:cstheme="minorHAnsi"/>
          <w:strike/>
          <w:sz w:val="24"/>
          <w:szCs w:val="24"/>
        </w:rPr>
        <w:t>I</w:t>
      </w:r>
      <w:r w:rsidR="00835C3B" w:rsidRPr="005D7DF4">
        <w:rPr>
          <w:rFonts w:asciiTheme="minorHAnsi" w:hAnsiTheme="minorHAnsi" w:cstheme="minorHAnsi"/>
          <w:sz w:val="24"/>
          <w:szCs w:val="24"/>
          <w:u w:val="single"/>
        </w:rPr>
        <w:t>J</w:t>
      </w:r>
      <w:proofErr w:type="gramStart"/>
      <w:r w:rsidR="00A732B5" w:rsidRPr="000502BF">
        <w:rPr>
          <w:rFonts w:asciiTheme="minorHAnsi" w:hAnsiTheme="minorHAnsi" w:cstheme="minorHAnsi"/>
          <w:sz w:val="24"/>
          <w:szCs w:val="24"/>
        </w:rPr>
        <w:t>)(</w:t>
      </w:r>
      <w:proofErr w:type="gramEnd"/>
      <w:r w:rsidR="00A732B5" w:rsidRPr="000502BF">
        <w:rPr>
          <w:rFonts w:asciiTheme="minorHAnsi" w:hAnsiTheme="minorHAnsi" w:cstheme="minorHAnsi"/>
          <w:sz w:val="24"/>
          <w:szCs w:val="24"/>
        </w:rPr>
        <w:t>2)</w:t>
      </w:r>
      <w:r w:rsidR="00A732B5" w:rsidRPr="00CF634B">
        <w:rPr>
          <w:rFonts w:asciiTheme="minorHAnsi" w:hAnsiTheme="minorHAnsi" w:cstheme="minorHAnsi"/>
          <w:sz w:val="24"/>
          <w:szCs w:val="24"/>
        </w:rPr>
        <w:t xml:space="preserve"> as follows:</w:t>
      </w:r>
    </w:p>
    <w:p w14:paraId="28D2AE45" w14:textId="77777777" w:rsidR="00A732B5" w:rsidRPr="00CF634B" w:rsidRDefault="00A732B5" w:rsidP="00A732B5">
      <w:pPr>
        <w:autoSpaceDE w:val="0"/>
        <w:autoSpaceDN w:val="0"/>
        <w:adjustRightInd w:val="0"/>
        <w:rPr>
          <w:rFonts w:asciiTheme="minorHAnsi" w:hAnsiTheme="minorHAnsi" w:cstheme="minorHAnsi"/>
          <w:sz w:val="24"/>
          <w:szCs w:val="24"/>
        </w:rPr>
      </w:pPr>
    </w:p>
    <w:p w14:paraId="35745B11" w14:textId="77777777" w:rsidR="00A732B5" w:rsidRPr="00CF634B" w:rsidRDefault="00A732B5" w:rsidP="00A732B5">
      <w:pPr>
        <w:autoSpaceDE w:val="0"/>
        <w:autoSpaceDN w:val="0"/>
        <w:adjustRightInd w:val="0"/>
        <w:ind w:left="720"/>
        <w:rPr>
          <w:rFonts w:asciiTheme="minorHAnsi" w:hAnsiTheme="minorHAnsi" w:cstheme="minorHAnsi"/>
          <w:sz w:val="24"/>
          <w:szCs w:val="24"/>
        </w:rPr>
      </w:pPr>
      <w:r w:rsidRPr="00CF634B">
        <w:rPr>
          <w:rFonts w:asciiTheme="minorHAnsi" w:hAnsiTheme="minorHAnsi" w:cstheme="minorHAnsi"/>
          <w:b/>
          <w:sz w:val="24"/>
          <w:szCs w:val="24"/>
        </w:rPr>
        <w:t>WAC at Acquisition</w:t>
      </w:r>
      <w:r w:rsidRPr="00CF634B">
        <w:rPr>
          <w:rFonts w:asciiTheme="minorHAnsi" w:hAnsiTheme="minorHAnsi" w:cstheme="minorHAnsi"/>
          <w:sz w:val="24"/>
          <w:szCs w:val="24"/>
        </w:rPr>
        <w:t xml:space="preserve"> to read “If the drug product was acquired by the manufacturer within the previous five years</w:t>
      </w:r>
      <w:r w:rsidRPr="00CF634B">
        <w:rPr>
          <w:rFonts w:asciiTheme="minorHAnsi" w:hAnsiTheme="minorHAnsi" w:cstheme="minorHAnsi"/>
          <w:sz w:val="24"/>
          <w:szCs w:val="24"/>
          <w:u w:val="single"/>
        </w:rPr>
        <w:t>, and the acquisition date falls after the introduced to market date</w:t>
      </w:r>
      <w:r w:rsidRPr="00CF634B">
        <w:rPr>
          <w:rFonts w:asciiTheme="minorHAnsi" w:hAnsiTheme="minorHAnsi" w:cstheme="minorHAnsi"/>
          <w:sz w:val="24"/>
          <w:szCs w:val="24"/>
        </w:rPr>
        <w:t>, the wholesale acquisition cost of the drug product at the time of acquisition.</w:t>
      </w:r>
    </w:p>
    <w:p w14:paraId="4BD67863" w14:textId="77777777" w:rsidR="00A732B5" w:rsidRPr="00CF634B" w:rsidRDefault="00A732B5" w:rsidP="00A732B5">
      <w:pPr>
        <w:autoSpaceDE w:val="0"/>
        <w:autoSpaceDN w:val="0"/>
        <w:adjustRightInd w:val="0"/>
        <w:ind w:left="720"/>
        <w:rPr>
          <w:rFonts w:asciiTheme="minorHAnsi" w:hAnsiTheme="minorHAnsi" w:cstheme="minorHAnsi"/>
          <w:sz w:val="24"/>
          <w:szCs w:val="24"/>
        </w:rPr>
      </w:pPr>
    </w:p>
    <w:p w14:paraId="7DD5464D" w14:textId="77777777" w:rsidR="00A732B5" w:rsidRPr="00CF634B" w:rsidRDefault="00A732B5" w:rsidP="00A732B5">
      <w:pPr>
        <w:autoSpaceDE w:val="0"/>
        <w:autoSpaceDN w:val="0"/>
        <w:adjustRightInd w:val="0"/>
        <w:ind w:left="720"/>
        <w:rPr>
          <w:rFonts w:asciiTheme="minorHAnsi" w:hAnsiTheme="minorHAnsi" w:cstheme="minorHAnsi"/>
          <w:sz w:val="24"/>
          <w:szCs w:val="24"/>
        </w:rPr>
      </w:pPr>
      <w:r w:rsidRPr="00CF634B">
        <w:rPr>
          <w:rFonts w:asciiTheme="minorHAnsi" w:hAnsiTheme="minorHAnsi" w:cstheme="minorHAnsi"/>
          <w:b/>
          <w:sz w:val="24"/>
          <w:szCs w:val="24"/>
        </w:rPr>
        <w:t>WAC One Year prior to Acquisition</w:t>
      </w:r>
      <w:r w:rsidRPr="00CF634B">
        <w:rPr>
          <w:rFonts w:asciiTheme="minorHAnsi" w:hAnsiTheme="minorHAnsi" w:cstheme="minorHAnsi"/>
          <w:sz w:val="24"/>
          <w:szCs w:val="24"/>
        </w:rPr>
        <w:t xml:space="preserve"> to read “If the drug product was acquired by the manufacturer within the previous five years</w:t>
      </w:r>
      <w:r w:rsidRPr="00CF634B">
        <w:rPr>
          <w:rFonts w:asciiTheme="minorHAnsi" w:hAnsiTheme="minorHAnsi" w:cstheme="minorHAnsi"/>
          <w:sz w:val="24"/>
          <w:szCs w:val="24"/>
          <w:u w:val="single"/>
        </w:rPr>
        <w:t>, and the acquisition date falls more than 365 days after the introduced to market date</w:t>
      </w:r>
      <w:r w:rsidRPr="00CF634B">
        <w:rPr>
          <w:rFonts w:asciiTheme="minorHAnsi" w:hAnsiTheme="minorHAnsi" w:cstheme="minorHAnsi"/>
          <w:sz w:val="24"/>
          <w:szCs w:val="24"/>
        </w:rPr>
        <w:t>, the wholesale acquisition cost of the drug product one year prior to the date of acquisition.”</w:t>
      </w:r>
    </w:p>
    <w:p w14:paraId="35F5F515" w14:textId="77777777" w:rsidR="00E50011" w:rsidRDefault="00E50011" w:rsidP="00A732B5">
      <w:pPr>
        <w:autoSpaceDE w:val="0"/>
        <w:autoSpaceDN w:val="0"/>
        <w:adjustRightInd w:val="0"/>
        <w:rPr>
          <w:rFonts w:asciiTheme="minorHAnsi" w:hAnsiTheme="minorHAnsi" w:cs="Calibri"/>
          <w:b/>
          <w:sz w:val="24"/>
          <w:szCs w:val="24"/>
        </w:rPr>
      </w:pPr>
    </w:p>
    <w:p w14:paraId="601C5E8D" w14:textId="6198976C" w:rsidR="00A732B5" w:rsidRPr="00CF634B" w:rsidRDefault="00A15C41" w:rsidP="00A732B5">
      <w:pPr>
        <w:autoSpaceDE w:val="0"/>
        <w:autoSpaceDN w:val="0"/>
        <w:adjustRightInd w:val="0"/>
        <w:rPr>
          <w:rFonts w:asciiTheme="minorHAnsi" w:hAnsiTheme="minorHAnsi" w:cs="Calibri"/>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Estimated Patient Volume</w:t>
      </w:r>
    </w:p>
    <w:p w14:paraId="45E37D3A" w14:textId="1B004561" w:rsidR="00921933" w:rsidRPr="00CF634B" w:rsidRDefault="00921933" w:rsidP="00921933">
      <w:pPr>
        <w:rPr>
          <w:rFonts w:asciiTheme="minorHAnsi" w:hAnsiTheme="minorHAnsi" w:cs="Arial"/>
          <w:sz w:val="24"/>
          <w:szCs w:val="24"/>
        </w:rPr>
      </w:pPr>
      <w:r w:rsidRPr="00CF634B">
        <w:rPr>
          <w:rFonts w:asciiTheme="minorHAnsi" w:hAnsiTheme="minorHAnsi" w:cs="Arial"/>
          <w:sz w:val="24"/>
          <w:szCs w:val="24"/>
        </w:rPr>
        <w:t>The Manufacturer Report for New Drugs requests the “estimated patient volume in the United States for this drug product.” We recommend amending this data point to read “Estimated prevalence of patients with the condition or conditions for which the drug product is indicated, as designated by the federal FDA” to establish reporting consistency.</w:t>
      </w:r>
    </w:p>
    <w:p w14:paraId="7472544E" w14:textId="5D989186" w:rsidR="00A732B5" w:rsidRPr="00CF634B" w:rsidRDefault="00A732B5" w:rsidP="00921933">
      <w:pPr>
        <w:rPr>
          <w:rFonts w:asciiTheme="minorHAnsi" w:hAnsiTheme="minorHAnsi" w:cs="Arial"/>
          <w:sz w:val="24"/>
          <w:szCs w:val="24"/>
        </w:rPr>
      </w:pPr>
    </w:p>
    <w:p w14:paraId="1C73E4BF" w14:textId="0BF62871" w:rsidR="00A732B5" w:rsidRPr="00CF634B" w:rsidRDefault="00A732B5" w:rsidP="00A732B5">
      <w:pPr>
        <w:autoSpaceDE w:val="0"/>
        <w:autoSpaceDN w:val="0"/>
        <w:adjustRightInd w:val="0"/>
        <w:rPr>
          <w:rFonts w:asciiTheme="minorHAnsi" w:hAnsiTheme="minorHAnsi"/>
          <w:sz w:val="24"/>
          <w:szCs w:val="24"/>
        </w:rPr>
      </w:pPr>
      <w:r w:rsidRPr="00CF634B">
        <w:rPr>
          <w:rFonts w:asciiTheme="minorHAnsi" w:hAnsiTheme="minorHAnsi"/>
          <w:b/>
          <w:sz w:val="24"/>
          <w:szCs w:val="24"/>
        </w:rPr>
        <w:t>MHDO</w:t>
      </w:r>
      <w:r w:rsidR="00023874" w:rsidRPr="00CF634B">
        <w:rPr>
          <w:rFonts w:asciiTheme="minorHAnsi" w:hAnsiTheme="minorHAnsi"/>
          <w:b/>
          <w:sz w:val="24"/>
          <w:szCs w:val="24"/>
        </w:rPr>
        <w:t xml:space="preserve"> </w:t>
      </w:r>
      <w:r w:rsidR="00023874" w:rsidRPr="00CF634B">
        <w:rPr>
          <w:rFonts w:asciiTheme="minorHAnsi" w:hAnsiTheme="minorHAnsi" w:cstheme="minorHAnsi"/>
          <w:b/>
          <w:sz w:val="24"/>
          <w:szCs w:val="24"/>
        </w:rPr>
        <w:t>Staff</w:t>
      </w:r>
      <w:r w:rsidRPr="00CF634B">
        <w:rPr>
          <w:rFonts w:asciiTheme="minorHAnsi" w:hAnsiTheme="minorHAnsi"/>
          <w:b/>
          <w:sz w:val="24"/>
          <w:szCs w:val="24"/>
        </w:rPr>
        <w:t xml:space="preserve"> Response:</w:t>
      </w:r>
      <w:r w:rsidRPr="00CF634B">
        <w:rPr>
          <w:rFonts w:asciiTheme="minorHAnsi" w:hAnsiTheme="minorHAnsi"/>
          <w:sz w:val="24"/>
          <w:szCs w:val="24"/>
        </w:rPr>
        <w:t xml:space="preserve">  T</w:t>
      </w:r>
      <w:r w:rsidRPr="00CF634B">
        <w:rPr>
          <w:rFonts w:asciiTheme="minorHAnsi" w:hAnsiTheme="minorHAnsi" w:cs="Calibri"/>
          <w:sz w:val="24"/>
          <w:szCs w:val="24"/>
        </w:rPr>
        <w:t>he prevalence of patients with a condition or conditions for which a drug is indicated does not provide MHDO information adequate to determine the number of persons that the manufacturer estimates will use its drug product after it is introduced to market.</w:t>
      </w:r>
      <w:r w:rsidRPr="00CF634B">
        <w:rPr>
          <w:rFonts w:asciiTheme="minorHAnsi" w:hAnsiTheme="minorHAnsi"/>
          <w:sz w:val="24"/>
          <w:szCs w:val="24"/>
        </w:rPr>
        <w:t xml:space="preserve"> </w:t>
      </w:r>
    </w:p>
    <w:p w14:paraId="251B3ED7" w14:textId="77777777" w:rsidR="00A732B5" w:rsidRPr="00CF634B" w:rsidRDefault="00A732B5" w:rsidP="00A732B5">
      <w:pPr>
        <w:autoSpaceDE w:val="0"/>
        <w:autoSpaceDN w:val="0"/>
        <w:adjustRightInd w:val="0"/>
        <w:rPr>
          <w:rFonts w:asciiTheme="minorHAnsi" w:hAnsiTheme="minorHAnsi"/>
          <w:sz w:val="24"/>
          <w:szCs w:val="24"/>
        </w:rPr>
      </w:pPr>
    </w:p>
    <w:p w14:paraId="21469493" w14:textId="59F35801" w:rsidR="00A732B5" w:rsidRPr="00CF634B" w:rsidRDefault="00023874" w:rsidP="00A732B5">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w:t>
      </w:r>
      <w:r w:rsidR="00A732B5" w:rsidRPr="00CF634B">
        <w:rPr>
          <w:rFonts w:asciiTheme="minorHAnsi" w:hAnsiTheme="minorHAnsi"/>
          <w:b/>
          <w:sz w:val="24"/>
          <w:szCs w:val="24"/>
        </w:rPr>
        <w:t>Board Action:</w:t>
      </w:r>
      <w:r w:rsidR="00A732B5" w:rsidRPr="00CF634B">
        <w:rPr>
          <w:rFonts w:asciiTheme="minorHAnsi" w:hAnsiTheme="minorHAnsi"/>
          <w:sz w:val="24"/>
          <w:szCs w:val="24"/>
        </w:rPr>
        <w:t xml:space="preserve">  No further action required.</w:t>
      </w:r>
    </w:p>
    <w:p w14:paraId="4113A316" w14:textId="77777777" w:rsidR="00A732B5" w:rsidRPr="00CF634B" w:rsidRDefault="00A732B5" w:rsidP="00921933">
      <w:pPr>
        <w:rPr>
          <w:rFonts w:asciiTheme="minorHAnsi" w:hAnsiTheme="minorHAnsi" w:cs="Arial"/>
          <w:sz w:val="24"/>
          <w:szCs w:val="24"/>
        </w:rPr>
      </w:pPr>
    </w:p>
    <w:p w14:paraId="6EC63ADD" w14:textId="21A0866C" w:rsidR="00A732B5" w:rsidRPr="00CF634B" w:rsidRDefault="00A15C41" w:rsidP="00A732B5">
      <w:pPr>
        <w:autoSpaceDE w:val="0"/>
        <w:autoSpaceDN w:val="0"/>
        <w:adjustRightInd w:val="0"/>
        <w:rPr>
          <w:rFonts w:asciiTheme="minorHAnsi" w:hAnsiTheme="minorHAnsi" w:cs="Calibri"/>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2. Registration and Submission Requirements – Data not available by reporting deadline</w:t>
      </w:r>
    </w:p>
    <w:p w14:paraId="576B2E7E" w14:textId="1D8F72CD" w:rsidR="00921933" w:rsidRPr="00CF634B" w:rsidRDefault="00921933" w:rsidP="00921933">
      <w:pPr>
        <w:rPr>
          <w:rFonts w:asciiTheme="minorHAnsi" w:hAnsiTheme="minorHAnsi" w:cs="Arial"/>
          <w:sz w:val="24"/>
          <w:szCs w:val="24"/>
        </w:rPr>
      </w:pPr>
      <w:r w:rsidRPr="00CF634B">
        <w:rPr>
          <w:rFonts w:asciiTheme="minorHAnsi" w:hAnsiTheme="minorHAnsi" w:cs="Arial"/>
          <w:sz w:val="24"/>
          <w:szCs w:val="24"/>
        </w:rPr>
        <w:t>The Manufacturer Report for Price Increases requires the submission of “Unit Sales Volume in US” and “Total Rebate Payable Amount.” While estimates may be available by the reporting deadline, final data are often not available for these items until after the reporting deadline. For example, volume-based rebate data for a calendar year may not be finalized and audited until after the reporting deadline.</w:t>
      </w:r>
      <w:r w:rsidR="000B1F81" w:rsidRPr="00CF634B">
        <w:rPr>
          <w:rFonts w:asciiTheme="minorHAnsi" w:hAnsiTheme="minorHAnsi" w:cs="Arial"/>
          <w:sz w:val="24"/>
          <w:szCs w:val="24"/>
        </w:rPr>
        <w:t xml:space="preserve"> </w:t>
      </w:r>
      <w:r w:rsidRPr="00CF634B">
        <w:rPr>
          <w:rFonts w:asciiTheme="minorHAnsi" w:hAnsiTheme="minorHAnsi" w:cs="Arial"/>
          <w:sz w:val="24"/>
          <w:szCs w:val="24"/>
        </w:rPr>
        <w:t xml:space="preserve">Manufacturers should be permitted to submit a reasonable estimate for these data </w:t>
      </w:r>
      <w:proofErr w:type="gramStart"/>
      <w:r w:rsidRPr="00CF634B">
        <w:rPr>
          <w:rFonts w:asciiTheme="minorHAnsi" w:hAnsiTheme="minorHAnsi" w:cs="Arial"/>
          <w:sz w:val="24"/>
          <w:szCs w:val="24"/>
        </w:rPr>
        <w:t>points,</w:t>
      </w:r>
      <w:r w:rsidR="00F024F6">
        <w:rPr>
          <w:rFonts w:asciiTheme="minorHAnsi" w:hAnsiTheme="minorHAnsi" w:cs="Arial"/>
          <w:sz w:val="24"/>
          <w:szCs w:val="24"/>
        </w:rPr>
        <w:t xml:space="preserve"> </w:t>
      </w:r>
      <w:r w:rsidRPr="00CF634B">
        <w:rPr>
          <w:rFonts w:asciiTheme="minorHAnsi" w:hAnsiTheme="minorHAnsi" w:cs="Arial"/>
          <w:sz w:val="24"/>
          <w:szCs w:val="24"/>
        </w:rPr>
        <w:t>or</w:t>
      </w:r>
      <w:proofErr w:type="gramEnd"/>
      <w:r w:rsidRPr="00CF634B">
        <w:rPr>
          <w:rFonts w:asciiTheme="minorHAnsi" w:hAnsiTheme="minorHAnsi" w:cs="Arial"/>
          <w:sz w:val="24"/>
          <w:szCs w:val="24"/>
        </w:rPr>
        <w:t xml:space="preserve"> be permitted to provide updated information at such time as data are finalized</w:t>
      </w:r>
      <w:r w:rsidR="000B1F81" w:rsidRPr="00CF634B">
        <w:rPr>
          <w:rFonts w:asciiTheme="minorHAnsi" w:hAnsiTheme="minorHAnsi" w:cs="Arial"/>
          <w:sz w:val="24"/>
          <w:szCs w:val="24"/>
        </w:rPr>
        <w:t>.</w:t>
      </w:r>
    </w:p>
    <w:p w14:paraId="640BDD99" w14:textId="77777777" w:rsidR="00CA0B80" w:rsidRPr="00CF634B" w:rsidRDefault="00CA0B80" w:rsidP="00CA0B80">
      <w:pPr>
        <w:tabs>
          <w:tab w:val="left" w:pos="720"/>
          <w:tab w:val="left" w:pos="1440"/>
          <w:tab w:val="left" w:pos="2160"/>
          <w:tab w:val="left" w:pos="2880"/>
          <w:tab w:val="left" w:pos="3600"/>
          <w:tab w:val="left" w:pos="4320"/>
        </w:tabs>
        <w:ind w:left="1440" w:hanging="720"/>
        <w:rPr>
          <w:rFonts w:asciiTheme="minorHAnsi" w:hAnsiTheme="minorHAnsi" w:cs="Arial"/>
          <w:sz w:val="24"/>
          <w:szCs w:val="24"/>
        </w:rPr>
      </w:pPr>
    </w:p>
    <w:p w14:paraId="64C9F178" w14:textId="36D21B9A" w:rsidR="00CA0B80" w:rsidRPr="00CF634B" w:rsidRDefault="00A732B5" w:rsidP="00CA0B80">
      <w:pPr>
        <w:rPr>
          <w:rFonts w:asciiTheme="minorHAnsi" w:hAnsiTheme="minorHAnsi"/>
          <w:sz w:val="24"/>
          <w:szCs w:val="24"/>
        </w:rPr>
      </w:pPr>
      <w:r w:rsidRPr="00CD196E">
        <w:rPr>
          <w:rFonts w:asciiTheme="minorHAnsi" w:hAnsiTheme="minorHAnsi"/>
          <w:b/>
          <w:sz w:val="24"/>
          <w:szCs w:val="24"/>
        </w:rPr>
        <w:t xml:space="preserve">MHDO </w:t>
      </w:r>
      <w:r w:rsidR="00023874" w:rsidRPr="00CD196E">
        <w:rPr>
          <w:rFonts w:asciiTheme="minorHAnsi" w:hAnsiTheme="minorHAnsi"/>
          <w:b/>
          <w:sz w:val="24"/>
          <w:szCs w:val="24"/>
        </w:rPr>
        <w:t>Staff Response</w:t>
      </w:r>
      <w:r w:rsidR="00CD196E" w:rsidRPr="00CD196E">
        <w:rPr>
          <w:rFonts w:asciiTheme="minorHAnsi" w:hAnsiTheme="minorHAnsi"/>
          <w:b/>
          <w:sz w:val="24"/>
          <w:szCs w:val="24"/>
        </w:rPr>
        <w:t>:</w:t>
      </w:r>
      <w:r w:rsidR="00CD196E">
        <w:rPr>
          <w:rFonts w:asciiTheme="minorHAnsi" w:hAnsiTheme="minorHAnsi"/>
          <w:sz w:val="24"/>
          <w:szCs w:val="24"/>
        </w:rPr>
        <w:t xml:space="preserve"> </w:t>
      </w:r>
      <w:r w:rsidR="004E2998">
        <w:rPr>
          <w:rFonts w:asciiTheme="minorHAnsi" w:hAnsiTheme="minorHAnsi"/>
          <w:sz w:val="24"/>
          <w:szCs w:val="24"/>
        </w:rPr>
        <w:t>Allow</w:t>
      </w:r>
      <w:r w:rsidR="00CA0B80" w:rsidRPr="00CF634B">
        <w:rPr>
          <w:rFonts w:asciiTheme="minorHAnsi" w:hAnsiTheme="minorHAnsi"/>
          <w:sz w:val="24"/>
          <w:szCs w:val="24"/>
        </w:rPr>
        <w:t xml:space="preserve"> for the submission of updated information within 90 days of the information being finalized and audited.  </w:t>
      </w:r>
    </w:p>
    <w:p w14:paraId="5E0E7438" w14:textId="77777777" w:rsidR="002B7448" w:rsidRPr="00CF634B" w:rsidRDefault="002B7448" w:rsidP="002B7448">
      <w:pPr>
        <w:pStyle w:val="BodyTextIndent"/>
        <w:tabs>
          <w:tab w:val="left" w:pos="720"/>
          <w:tab w:val="left" w:pos="1440"/>
          <w:tab w:val="left" w:pos="2160"/>
          <w:tab w:val="left" w:pos="2880"/>
          <w:tab w:val="left" w:pos="3600"/>
          <w:tab w:val="left" w:pos="4320"/>
        </w:tabs>
        <w:spacing w:after="0"/>
        <w:ind w:left="720"/>
        <w:rPr>
          <w:rFonts w:asciiTheme="minorHAnsi" w:hAnsiTheme="minorHAnsi"/>
          <w:sz w:val="24"/>
          <w:szCs w:val="24"/>
        </w:rPr>
      </w:pPr>
    </w:p>
    <w:p w14:paraId="59903EE3" w14:textId="48096145" w:rsidR="002B7448" w:rsidRDefault="00CA0B80" w:rsidP="002B7448">
      <w:pPr>
        <w:rPr>
          <w:rFonts w:asciiTheme="minorHAnsi" w:hAnsiTheme="minorHAnsi"/>
          <w:sz w:val="24"/>
          <w:szCs w:val="24"/>
        </w:rPr>
      </w:pPr>
      <w:r w:rsidRPr="00CD196E">
        <w:rPr>
          <w:rFonts w:asciiTheme="minorHAnsi" w:hAnsiTheme="minorHAnsi"/>
          <w:b/>
          <w:sz w:val="24"/>
          <w:szCs w:val="24"/>
        </w:rPr>
        <w:t>Recommended Board Action:</w:t>
      </w:r>
      <w:r w:rsidRPr="00CF634B">
        <w:rPr>
          <w:rFonts w:asciiTheme="minorHAnsi" w:hAnsiTheme="minorHAnsi"/>
          <w:sz w:val="24"/>
          <w:szCs w:val="24"/>
        </w:rPr>
        <w:t xml:space="preserve">  </w:t>
      </w:r>
      <w:r w:rsidR="002B7448" w:rsidRPr="00CF634B">
        <w:rPr>
          <w:rFonts w:asciiTheme="minorHAnsi" w:hAnsiTheme="minorHAnsi"/>
          <w:sz w:val="24"/>
          <w:szCs w:val="24"/>
        </w:rPr>
        <w:t>Add a new provision to Section 2. Registration and Submission Requirements:</w:t>
      </w:r>
    </w:p>
    <w:p w14:paraId="2AE57699" w14:textId="77777777" w:rsidR="00D4051B" w:rsidRPr="00CF634B" w:rsidRDefault="00D4051B" w:rsidP="002B7448">
      <w:pPr>
        <w:rPr>
          <w:rFonts w:asciiTheme="minorHAnsi" w:hAnsiTheme="minorHAnsi"/>
          <w:sz w:val="24"/>
          <w:szCs w:val="24"/>
        </w:rPr>
      </w:pPr>
    </w:p>
    <w:p w14:paraId="0881B48C" w14:textId="553C00C9" w:rsidR="00CA0B80" w:rsidRPr="00CF634B" w:rsidRDefault="002B7448" w:rsidP="00D4051B">
      <w:pPr>
        <w:ind w:left="720"/>
        <w:rPr>
          <w:rFonts w:asciiTheme="minorHAnsi" w:hAnsiTheme="minorHAnsi"/>
          <w:sz w:val="24"/>
          <w:szCs w:val="24"/>
        </w:rPr>
      </w:pPr>
      <w:r w:rsidRPr="00E50011">
        <w:rPr>
          <w:rFonts w:asciiTheme="minorHAnsi" w:hAnsiTheme="minorHAnsi"/>
          <w:b/>
          <w:sz w:val="24"/>
          <w:szCs w:val="24"/>
        </w:rPr>
        <w:t>2</w:t>
      </w:r>
      <w:r w:rsidRPr="00B470AC">
        <w:rPr>
          <w:rFonts w:asciiTheme="minorHAnsi" w:hAnsiTheme="minorHAnsi"/>
          <w:b/>
          <w:sz w:val="24"/>
          <w:szCs w:val="24"/>
        </w:rPr>
        <w:t xml:space="preserve">. </w:t>
      </w:r>
      <w:r w:rsidRPr="006A74C6">
        <w:rPr>
          <w:rFonts w:asciiTheme="minorHAnsi" w:hAnsiTheme="minorHAnsi"/>
          <w:b/>
          <w:strike/>
          <w:sz w:val="24"/>
          <w:szCs w:val="24"/>
        </w:rPr>
        <w:t>J</w:t>
      </w:r>
      <w:r w:rsidR="003E3CEF" w:rsidRPr="006A74C6">
        <w:rPr>
          <w:rFonts w:asciiTheme="minorHAnsi" w:hAnsiTheme="minorHAnsi"/>
          <w:b/>
          <w:sz w:val="24"/>
          <w:szCs w:val="24"/>
          <w:u w:val="single"/>
        </w:rPr>
        <w:t>I</w:t>
      </w:r>
      <w:r w:rsidRPr="00B470AC">
        <w:rPr>
          <w:rFonts w:asciiTheme="minorHAnsi" w:hAnsiTheme="minorHAnsi"/>
          <w:b/>
          <w:sz w:val="24"/>
          <w:szCs w:val="24"/>
        </w:rPr>
        <w:t>.</w:t>
      </w:r>
      <w:r w:rsidRPr="00E50011">
        <w:rPr>
          <w:rFonts w:asciiTheme="minorHAnsi" w:hAnsiTheme="minorHAnsi"/>
          <w:b/>
          <w:sz w:val="24"/>
          <w:szCs w:val="24"/>
        </w:rPr>
        <w:t xml:space="preserve"> </w:t>
      </w:r>
      <w:r w:rsidR="00CA0B80" w:rsidRPr="00E50011">
        <w:rPr>
          <w:rFonts w:asciiTheme="minorHAnsi" w:hAnsiTheme="minorHAnsi"/>
          <w:b/>
          <w:sz w:val="24"/>
          <w:szCs w:val="24"/>
        </w:rPr>
        <w:t>Replacement of Data Files</w:t>
      </w:r>
      <w:r w:rsidR="00CA0B80" w:rsidRPr="00CF634B">
        <w:rPr>
          <w:rFonts w:asciiTheme="minorHAnsi" w:hAnsiTheme="minorHAnsi"/>
          <w:sz w:val="24"/>
          <w:szCs w:val="24"/>
          <w:u w:val="single"/>
        </w:rPr>
        <w:t xml:space="preserve">. </w:t>
      </w:r>
      <w:r w:rsidRPr="00CF634B">
        <w:rPr>
          <w:rFonts w:asciiTheme="minorHAnsi" w:hAnsiTheme="minorHAnsi"/>
          <w:sz w:val="24"/>
          <w:szCs w:val="24"/>
          <w:u w:val="single"/>
        </w:rPr>
        <w:t xml:space="preserve">A manufacturer may replace data submitted to the MHDO with updated data within 90 days of the updated information becoming available.  </w:t>
      </w:r>
      <w:r w:rsidR="00CA0B80" w:rsidRPr="00CF634B">
        <w:rPr>
          <w:rFonts w:asciiTheme="minorHAnsi" w:hAnsiTheme="minorHAnsi"/>
          <w:sz w:val="24"/>
          <w:szCs w:val="24"/>
          <w:u w:val="single"/>
        </w:rPr>
        <w:t>Any replacements after this period must be approved by the MHDO</w:t>
      </w:r>
      <w:r w:rsidR="00CA0B80" w:rsidRPr="00CF634B">
        <w:rPr>
          <w:rFonts w:asciiTheme="minorHAnsi" w:hAnsiTheme="minorHAnsi"/>
          <w:sz w:val="24"/>
          <w:szCs w:val="24"/>
        </w:rPr>
        <w:t xml:space="preserve">. </w:t>
      </w:r>
    </w:p>
    <w:p w14:paraId="1BD868F2" w14:textId="77777777" w:rsidR="007C4960" w:rsidRPr="00CF634B" w:rsidRDefault="007C4960" w:rsidP="007C4960">
      <w:pPr>
        <w:spacing w:before="1"/>
        <w:rPr>
          <w:rFonts w:asciiTheme="minorHAnsi" w:eastAsia="Arial" w:hAnsiTheme="minorHAnsi" w:cs="Arial"/>
          <w:sz w:val="24"/>
          <w:szCs w:val="24"/>
        </w:rPr>
      </w:pPr>
    </w:p>
    <w:p w14:paraId="7A610FE5" w14:textId="440C99FF" w:rsidR="000B1F81" w:rsidRPr="00CF634B" w:rsidRDefault="00A732B5" w:rsidP="000B1F81">
      <w:pPr>
        <w:rPr>
          <w:rFonts w:asciiTheme="minorHAnsi" w:hAnsiTheme="minorHAnsi"/>
          <w:b/>
          <w:sz w:val="24"/>
          <w:szCs w:val="24"/>
        </w:rPr>
      </w:pPr>
      <w:r w:rsidRPr="00CF634B">
        <w:rPr>
          <w:rFonts w:asciiTheme="minorHAnsi" w:hAnsiTheme="minorHAnsi" w:cs="Arial"/>
          <w:b/>
          <w:sz w:val="24"/>
          <w:szCs w:val="24"/>
        </w:rPr>
        <w:t>Comment</w:t>
      </w:r>
      <w:r w:rsidR="00A15C41" w:rsidRPr="00CF634B">
        <w:rPr>
          <w:rFonts w:asciiTheme="minorHAnsi" w:hAnsiTheme="minorHAnsi" w:cs="Arial"/>
          <w:b/>
          <w:sz w:val="24"/>
          <w:szCs w:val="24"/>
        </w:rPr>
        <w:t>-</w:t>
      </w:r>
      <w:r w:rsidR="000B1F81" w:rsidRPr="00CF634B">
        <w:rPr>
          <w:rFonts w:asciiTheme="minorHAnsi" w:hAnsiTheme="minorHAnsi" w:cs="Arial"/>
          <w:b/>
          <w:sz w:val="24"/>
          <w:szCs w:val="24"/>
        </w:rPr>
        <w:t>Section 3. Evaluation; Notification; Response</w:t>
      </w:r>
    </w:p>
    <w:p w14:paraId="78ABAD9D" w14:textId="77777777"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As discussed above, the 10-day timeframe for deficiency correction (2.H.) is far too short and inconsistent with requirements imposed on other MHDO reporters.</w:t>
      </w:r>
    </w:p>
    <w:p w14:paraId="583ED4F8" w14:textId="5EF5C969" w:rsidR="007C4960" w:rsidRPr="00CF634B" w:rsidRDefault="007C4960" w:rsidP="007C4960">
      <w:pPr>
        <w:rPr>
          <w:rFonts w:asciiTheme="minorHAnsi" w:hAnsiTheme="minorHAnsi" w:cs="Arial"/>
          <w:sz w:val="24"/>
          <w:szCs w:val="24"/>
        </w:rPr>
      </w:pPr>
    </w:p>
    <w:p w14:paraId="3167C90B" w14:textId="324B4198" w:rsidR="002B7448" w:rsidRPr="00844B17" w:rsidRDefault="00A732B5" w:rsidP="002B7448">
      <w:pPr>
        <w:rPr>
          <w:rFonts w:asciiTheme="minorHAnsi" w:hAnsiTheme="minorHAnsi" w:cstheme="minorHAnsi"/>
          <w:sz w:val="24"/>
          <w:szCs w:val="24"/>
        </w:rPr>
      </w:pPr>
      <w:r w:rsidRPr="00CF634B">
        <w:rPr>
          <w:rFonts w:asciiTheme="minorHAnsi" w:hAnsiTheme="minorHAnsi" w:cstheme="minorHAnsi"/>
          <w:b/>
          <w:sz w:val="24"/>
          <w:szCs w:val="24"/>
        </w:rPr>
        <w:t xml:space="preserve">MHDO </w:t>
      </w:r>
      <w:r w:rsidR="00023874" w:rsidRPr="00CF634B">
        <w:rPr>
          <w:rFonts w:asciiTheme="minorHAnsi" w:hAnsiTheme="minorHAnsi" w:cstheme="minorHAnsi"/>
          <w:b/>
          <w:sz w:val="24"/>
          <w:szCs w:val="24"/>
        </w:rPr>
        <w:t>Staff Response</w:t>
      </w:r>
      <w:r w:rsidR="00CD196E">
        <w:rPr>
          <w:rFonts w:asciiTheme="minorHAnsi" w:hAnsiTheme="minorHAnsi" w:cstheme="minorHAnsi"/>
          <w:b/>
          <w:sz w:val="24"/>
          <w:szCs w:val="24"/>
        </w:rPr>
        <w:t xml:space="preserve">:  </w:t>
      </w:r>
      <w:r w:rsidR="004E2998" w:rsidRPr="00844B17">
        <w:rPr>
          <w:rFonts w:asciiTheme="minorHAnsi" w:hAnsiTheme="minorHAnsi" w:cstheme="minorHAnsi"/>
          <w:sz w:val="24"/>
          <w:szCs w:val="24"/>
        </w:rPr>
        <w:t>Revise the</w:t>
      </w:r>
      <w:r w:rsidR="002B7448" w:rsidRPr="00844B17">
        <w:rPr>
          <w:rFonts w:asciiTheme="minorHAnsi" w:hAnsiTheme="minorHAnsi" w:cstheme="minorHAnsi"/>
          <w:sz w:val="24"/>
          <w:szCs w:val="24"/>
        </w:rPr>
        <w:t xml:space="preserve"> timeframe for deficiency as requested from 10 days to 30 days.  </w:t>
      </w:r>
    </w:p>
    <w:p w14:paraId="2A4CB83E" w14:textId="4987F5C0" w:rsidR="00A732B5" w:rsidRPr="00CF634B" w:rsidRDefault="00A732B5" w:rsidP="00A732B5">
      <w:pPr>
        <w:rPr>
          <w:rFonts w:asciiTheme="minorHAnsi" w:hAnsiTheme="minorHAnsi" w:cstheme="minorHAnsi"/>
          <w:sz w:val="24"/>
          <w:szCs w:val="24"/>
        </w:rPr>
      </w:pPr>
    </w:p>
    <w:p w14:paraId="7F1626EB" w14:textId="710F8B97" w:rsidR="002B7448" w:rsidRDefault="002B7448" w:rsidP="002B7448">
      <w:pPr>
        <w:rPr>
          <w:rFonts w:asciiTheme="minorHAnsi" w:hAnsiTheme="minorHAnsi"/>
          <w:sz w:val="24"/>
          <w:szCs w:val="24"/>
        </w:rPr>
      </w:pPr>
      <w:r w:rsidRPr="00CD196E">
        <w:rPr>
          <w:rFonts w:asciiTheme="minorHAnsi" w:hAnsiTheme="minorHAnsi"/>
          <w:b/>
          <w:sz w:val="24"/>
          <w:szCs w:val="24"/>
        </w:rPr>
        <w:t>Recommended Board Action:</w:t>
      </w:r>
      <w:r w:rsidRPr="00CF634B">
        <w:rPr>
          <w:rFonts w:asciiTheme="minorHAnsi" w:hAnsiTheme="minorHAnsi"/>
          <w:sz w:val="24"/>
          <w:szCs w:val="24"/>
        </w:rPr>
        <w:t xml:space="preserve"> </w:t>
      </w:r>
      <w:r w:rsidR="004E2998">
        <w:rPr>
          <w:rFonts w:asciiTheme="minorHAnsi" w:hAnsiTheme="minorHAnsi"/>
          <w:sz w:val="24"/>
          <w:szCs w:val="24"/>
        </w:rPr>
        <w:t xml:space="preserve">Revise </w:t>
      </w:r>
      <w:r w:rsidR="00D4051B">
        <w:rPr>
          <w:rFonts w:asciiTheme="minorHAnsi" w:hAnsiTheme="minorHAnsi"/>
          <w:sz w:val="24"/>
          <w:szCs w:val="24"/>
        </w:rPr>
        <w:t xml:space="preserve">Sections </w:t>
      </w:r>
      <w:r w:rsidR="004E2998">
        <w:rPr>
          <w:rFonts w:asciiTheme="minorHAnsi" w:hAnsiTheme="minorHAnsi"/>
          <w:sz w:val="24"/>
          <w:szCs w:val="24"/>
        </w:rPr>
        <w:t>2.H</w:t>
      </w:r>
      <w:r w:rsidR="00F024F6">
        <w:rPr>
          <w:rFonts w:asciiTheme="minorHAnsi" w:hAnsiTheme="minorHAnsi"/>
          <w:sz w:val="24"/>
          <w:szCs w:val="24"/>
        </w:rPr>
        <w:t>.</w:t>
      </w:r>
      <w:r w:rsidR="004E2998">
        <w:rPr>
          <w:rFonts w:asciiTheme="minorHAnsi" w:hAnsiTheme="minorHAnsi"/>
          <w:sz w:val="24"/>
          <w:szCs w:val="24"/>
        </w:rPr>
        <w:t xml:space="preserve"> </w:t>
      </w:r>
      <w:r w:rsidR="00E97A04">
        <w:rPr>
          <w:rFonts w:asciiTheme="minorHAnsi" w:hAnsiTheme="minorHAnsi"/>
          <w:sz w:val="24"/>
          <w:szCs w:val="24"/>
        </w:rPr>
        <w:t>and 3</w:t>
      </w:r>
      <w:r w:rsidR="004E2998">
        <w:rPr>
          <w:rFonts w:asciiTheme="minorHAnsi" w:hAnsiTheme="minorHAnsi"/>
          <w:sz w:val="24"/>
          <w:szCs w:val="24"/>
        </w:rPr>
        <w:t>.C</w:t>
      </w:r>
      <w:r w:rsidR="00F024F6">
        <w:rPr>
          <w:rFonts w:asciiTheme="minorHAnsi" w:hAnsiTheme="minorHAnsi"/>
          <w:sz w:val="24"/>
          <w:szCs w:val="24"/>
        </w:rPr>
        <w:t>.</w:t>
      </w:r>
      <w:r w:rsidRPr="00CF634B">
        <w:rPr>
          <w:rFonts w:asciiTheme="minorHAnsi" w:hAnsiTheme="minorHAnsi"/>
          <w:sz w:val="24"/>
          <w:szCs w:val="24"/>
        </w:rPr>
        <w:t xml:space="preserve"> as follows:</w:t>
      </w:r>
    </w:p>
    <w:p w14:paraId="6F8B9EBF" w14:textId="77777777" w:rsidR="004E2998" w:rsidRDefault="004E2998" w:rsidP="004E2998"/>
    <w:p w14:paraId="26808E8C" w14:textId="25315A24" w:rsidR="004E2998" w:rsidRPr="00E97A04" w:rsidRDefault="00E97A04" w:rsidP="00D4051B">
      <w:pPr>
        <w:ind w:left="720"/>
        <w:rPr>
          <w:rFonts w:asciiTheme="minorHAnsi" w:hAnsiTheme="minorHAnsi"/>
          <w:sz w:val="24"/>
          <w:szCs w:val="24"/>
        </w:rPr>
      </w:pPr>
      <w:r w:rsidRPr="00D4051B">
        <w:rPr>
          <w:rFonts w:asciiTheme="minorHAnsi" w:hAnsiTheme="minorHAnsi" w:cstheme="minorHAnsi"/>
          <w:b/>
          <w:sz w:val="24"/>
          <w:szCs w:val="24"/>
        </w:rPr>
        <w:t>2.H</w:t>
      </w:r>
      <w:r w:rsidRPr="00D4051B">
        <w:rPr>
          <w:rFonts w:asciiTheme="minorHAnsi" w:hAnsiTheme="minorHAnsi" w:cstheme="minorHAnsi"/>
          <w:sz w:val="24"/>
          <w:szCs w:val="24"/>
        </w:rPr>
        <w:t xml:space="preserve">. </w:t>
      </w:r>
      <w:r w:rsidR="004E2998" w:rsidRPr="00D4051B">
        <w:rPr>
          <w:rFonts w:asciiTheme="minorHAnsi" w:hAnsiTheme="minorHAnsi" w:cstheme="minorHAnsi"/>
          <w:b/>
          <w:sz w:val="24"/>
          <w:szCs w:val="24"/>
        </w:rPr>
        <w:t>Rejection of Submissions</w:t>
      </w:r>
      <w:r w:rsidR="004E2998" w:rsidRPr="004E2998">
        <w:t xml:space="preserve">. </w:t>
      </w:r>
      <w:r w:rsidR="004E2998" w:rsidRPr="00E97A04">
        <w:rPr>
          <w:rFonts w:asciiTheme="minorHAnsi" w:hAnsiTheme="minorHAnsi"/>
          <w:sz w:val="24"/>
          <w:szCs w:val="24"/>
        </w:rPr>
        <w:t xml:space="preserve">Failure to conform to the requirements of subsections D, E or F of this Section shall result in the rejection of the data file(s). All rejected files must be corrected and resubmitted to the MHDO or its designee within </w:t>
      </w:r>
      <w:r w:rsidRPr="00E97A04">
        <w:rPr>
          <w:rFonts w:asciiTheme="minorHAnsi" w:hAnsiTheme="minorHAnsi"/>
          <w:strike/>
          <w:sz w:val="24"/>
          <w:szCs w:val="24"/>
        </w:rPr>
        <w:t>10</w:t>
      </w:r>
      <w:r w:rsidR="004E2998" w:rsidRPr="00E97A04">
        <w:rPr>
          <w:rFonts w:asciiTheme="minorHAnsi" w:hAnsiTheme="minorHAnsi"/>
          <w:sz w:val="24"/>
          <w:szCs w:val="24"/>
          <w:u w:val="single"/>
        </w:rPr>
        <w:t xml:space="preserve"> </w:t>
      </w:r>
      <w:r w:rsidRPr="00E97A04">
        <w:rPr>
          <w:rFonts w:asciiTheme="minorHAnsi" w:hAnsiTheme="minorHAnsi"/>
          <w:sz w:val="24"/>
          <w:szCs w:val="24"/>
          <w:u w:val="single"/>
        </w:rPr>
        <w:t>30</w:t>
      </w:r>
      <w:r>
        <w:rPr>
          <w:rFonts w:asciiTheme="minorHAnsi" w:hAnsiTheme="minorHAnsi"/>
          <w:sz w:val="24"/>
          <w:szCs w:val="24"/>
        </w:rPr>
        <w:t xml:space="preserve"> </w:t>
      </w:r>
      <w:r w:rsidR="004E2998" w:rsidRPr="00E97A04">
        <w:rPr>
          <w:rFonts w:asciiTheme="minorHAnsi" w:hAnsiTheme="minorHAnsi"/>
          <w:sz w:val="24"/>
          <w:szCs w:val="24"/>
        </w:rPr>
        <w:t>days.</w:t>
      </w:r>
    </w:p>
    <w:p w14:paraId="09DBF320" w14:textId="77777777" w:rsidR="004E2998" w:rsidRPr="00E97A04" w:rsidRDefault="004E2998" w:rsidP="004E2998">
      <w:pPr>
        <w:rPr>
          <w:rFonts w:asciiTheme="minorHAnsi" w:hAnsiTheme="minorHAnsi"/>
          <w:sz w:val="24"/>
          <w:szCs w:val="24"/>
        </w:rPr>
      </w:pPr>
    </w:p>
    <w:p w14:paraId="21C99890" w14:textId="381B4968" w:rsidR="002B7448" w:rsidRPr="004E2998" w:rsidRDefault="004E2998" w:rsidP="00D4051B">
      <w:pPr>
        <w:ind w:left="720"/>
      </w:pPr>
      <w:r w:rsidRPr="00D4051B">
        <w:rPr>
          <w:rFonts w:asciiTheme="minorHAnsi" w:hAnsiTheme="minorHAnsi"/>
          <w:b/>
          <w:sz w:val="24"/>
          <w:szCs w:val="24"/>
        </w:rPr>
        <w:t>3.</w:t>
      </w:r>
      <w:r w:rsidR="002B7448" w:rsidRPr="00D4051B">
        <w:rPr>
          <w:rFonts w:asciiTheme="minorHAnsi" w:hAnsiTheme="minorHAnsi"/>
          <w:b/>
          <w:sz w:val="24"/>
          <w:szCs w:val="24"/>
        </w:rPr>
        <w:t>C. Response</w:t>
      </w:r>
      <w:r w:rsidR="002B7448" w:rsidRPr="00CF634B">
        <w:rPr>
          <w:rFonts w:asciiTheme="minorHAnsi" w:hAnsiTheme="minorHAnsi"/>
          <w:b/>
          <w:sz w:val="24"/>
          <w:szCs w:val="24"/>
        </w:rPr>
        <w:t>.</w:t>
      </w:r>
      <w:r w:rsidR="002B7448" w:rsidRPr="00CF634B">
        <w:rPr>
          <w:rFonts w:asciiTheme="minorHAnsi" w:hAnsiTheme="minorHAnsi"/>
          <w:sz w:val="24"/>
          <w:szCs w:val="24"/>
        </w:rPr>
        <w:t xml:space="preserve"> Each reporting entity notified under subsection 3(B) will respond within </w:t>
      </w:r>
      <w:r w:rsidR="002B7448" w:rsidRPr="005E31A1">
        <w:rPr>
          <w:rFonts w:asciiTheme="minorHAnsi" w:hAnsiTheme="minorHAnsi"/>
          <w:strike/>
          <w:sz w:val="24"/>
          <w:szCs w:val="24"/>
        </w:rPr>
        <w:t>10</w:t>
      </w:r>
      <w:r w:rsidR="002B7448" w:rsidRPr="00CF634B">
        <w:rPr>
          <w:rFonts w:asciiTheme="minorHAnsi" w:hAnsiTheme="minorHAnsi"/>
          <w:sz w:val="24"/>
          <w:szCs w:val="24"/>
        </w:rPr>
        <w:t xml:space="preserve"> </w:t>
      </w:r>
      <w:r w:rsidR="002B7448" w:rsidRPr="005E31A1">
        <w:rPr>
          <w:rFonts w:asciiTheme="minorHAnsi" w:hAnsiTheme="minorHAnsi"/>
          <w:sz w:val="24"/>
          <w:szCs w:val="24"/>
          <w:u w:val="single"/>
        </w:rPr>
        <w:t>30</w:t>
      </w:r>
      <w:r w:rsidR="002B7448" w:rsidRPr="00CF634B">
        <w:rPr>
          <w:rFonts w:asciiTheme="minorHAnsi" w:hAnsiTheme="minorHAnsi"/>
          <w:sz w:val="24"/>
          <w:szCs w:val="24"/>
        </w:rPr>
        <w:t xml:space="preserve"> days of the notification by making and reporting the changes necessary to satisfy the standards.</w:t>
      </w:r>
    </w:p>
    <w:p w14:paraId="5E04F57A" w14:textId="77777777" w:rsidR="007C4960" w:rsidRPr="00CF634B" w:rsidRDefault="007C4960" w:rsidP="007C4960">
      <w:pPr>
        <w:spacing w:before="1"/>
        <w:rPr>
          <w:rFonts w:asciiTheme="minorHAnsi" w:eastAsia="Arial" w:hAnsiTheme="minorHAnsi" w:cs="Arial"/>
          <w:sz w:val="24"/>
          <w:szCs w:val="24"/>
        </w:rPr>
      </w:pPr>
    </w:p>
    <w:p w14:paraId="01E005C6" w14:textId="68E1E12D" w:rsidR="000B1F81" w:rsidRPr="00CF634B" w:rsidRDefault="00A15C41" w:rsidP="000B1F81">
      <w:pPr>
        <w:rPr>
          <w:rFonts w:asciiTheme="minorHAnsi" w:hAnsiTheme="minorHAnsi"/>
          <w:sz w:val="24"/>
          <w:szCs w:val="24"/>
        </w:rPr>
      </w:pPr>
      <w:r w:rsidRPr="00CF634B">
        <w:rPr>
          <w:rFonts w:asciiTheme="minorHAnsi" w:hAnsiTheme="minorHAnsi" w:cs="Arial"/>
          <w:b/>
          <w:sz w:val="24"/>
          <w:szCs w:val="24"/>
        </w:rPr>
        <w:t xml:space="preserve">Comment- </w:t>
      </w:r>
      <w:r w:rsidR="000B1F81" w:rsidRPr="00CF634B">
        <w:rPr>
          <w:rFonts w:asciiTheme="minorHAnsi" w:hAnsiTheme="minorHAnsi" w:cs="Arial"/>
          <w:b/>
          <w:sz w:val="24"/>
          <w:szCs w:val="24"/>
        </w:rPr>
        <w:t>Section 4. Compliance</w:t>
      </w:r>
      <w:r w:rsidR="00A732B5" w:rsidRPr="00CF634B">
        <w:rPr>
          <w:rFonts w:asciiTheme="minorHAnsi" w:hAnsiTheme="minorHAnsi" w:cs="Arial"/>
          <w:b/>
          <w:sz w:val="24"/>
          <w:szCs w:val="24"/>
        </w:rPr>
        <w:t>-</w:t>
      </w:r>
      <w:r w:rsidR="00A732B5" w:rsidRPr="00CF634B">
        <w:rPr>
          <w:rFonts w:asciiTheme="minorHAnsi" w:hAnsiTheme="minorHAnsi" w:cs="Calibri"/>
          <w:b/>
          <w:sz w:val="24"/>
          <w:szCs w:val="24"/>
        </w:rPr>
        <w:t xml:space="preserve"> Certification of Accuracy</w:t>
      </w:r>
    </w:p>
    <w:p w14:paraId="0A4A2206" w14:textId="27914B29" w:rsidR="000B1F81" w:rsidRDefault="000B1F81" w:rsidP="000B1F81">
      <w:pPr>
        <w:rPr>
          <w:rFonts w:asciiTheme="minorHAnsi" w:hAnsiTheme="minorHAnsi" w:cs="Arial"/>
          <w:sz w:val="24"/>
          <w:szCs w:val="24"/>
        </w:rPr>
      </w:pPr>
      <w:r w:rsidRPr="00CF634B">
        <w:rPr>
          <w:rFonts w:asciiTheme="minorHAnsi" w:hAnsiTheme="minorHAnsi" w:cs="Arial"/>
          <w:sz w:val="24"/>
          <w:szCs w:val="24"/>
        </w:rPr>
        <w:t>We request clarification regarding how reporting entities should submit the required “certification of accuracy” given that it must be a signed, written document and email attachments are not permitted with submissions.</w:t>
      </w:r>
    </w:p>
    <w:p w14:paraId="0BFD2DDA" w14:textId="77777777" w:rsidR="00EC6122" w:rsidRPr="00CF634B" w:rsidRDefault="00EC6122" w:rsidP="000B1F81">
      <w:pPr>
        <w:rPr>
          <w:rFonts w:asciiTheme="minorHAnsi" w:hAnsiTheme="minorHAnsi" w:cs="Arial"/>
          <w:sz w:val="24"/>
          <w:szCs w:val="24"/>
        </w:rPr>
      </w:pPr>
    </w:p>
    <w:p w14:paraId="2CEE5FC3" w14:textId="54D3A3C0" w:rsidR="002A3E49" w:rsidRPr="00F47794" w:rsidRDefault="00A732B5" w:rsidP="002A3E49">
      <w:pPr>
        <w:autoSpaceDE w:val="0"/>
        <w:autoSpaceDN w:val="0"/>
        <w:adjustRightInd w:val="0"/>
        <w:rPr>
          <w:rFonts w:asciiTheme="minorHAnsi" w:hAnsiTheme="minorHAnsi" w:cstheme="minorHAnsi"/>
          <w:b/>
          <w:sz w:val="24"/>
          <w:szCs w:val="24"/>
        </w:rPr>
      </w:pPr>
      <w:r w:rsidRPr="00CF634B">
        <w:rPr>
          <w:rFonts w:asciiTheme="minorHAnsi" w:hAnsiTheme="minorHAnsi" w:cstheme="minorHAnsi"/>
          <w:b/>
          <w:sz w:val="24"/>
          <w:szCs w:val="24"/>
        </w:rPr>
        <w:t xml:space="preserve">MHDO </w:t>
      </w:r>
      <w:r w:rsidR="00023874" w:rsidRPr="00CF634B">
        <w:rPr>
          <w:rFonts w:asciiTheme="minorHAnsi" w:hAnsiTheme="minorHAnsi" w:cstheme="minorHAnsi"/>
          <w:b/>
          <w:sz w:val="24"/>
          <w:szCs w:val="24"/>
        </w:rPr>
        <w:t>Staff Response</w:t>
      </w:r>
      <w:r w:rsidR="009701FD">
        <w:rPr>
          <w:rFonts w:asciiTheme="minorHAnsi" w:hAnsiTheme="minorHAnsi" w:cstheme="minorHAnsi"/>
          <w:b/>
          <w:sz w:val="24"/>
          <w:szCs w:val="24"/>
        </w:rPr>
        <w:t xml:space="preserve">: </w:t>
      </w:r>
      <w:r w:rsidR="00F47794">
        <w:rPr>
          <w:rFonts w:asciiTheme="minorHAnsi" w:hAnsiTheme="minorHAnsi" w:cstheme="minorHAnsi"/>
          <w:b/>
          <w:sz w:val="24"/>
          <w:szCs w:val="24"/>
        </w:rPr>
        <w:t xml:space="preserve">  </w:t>
      </w:r>
      <w:r w:rsidR="00F47794" w:rsidRPr="00F47794">
        <w:rPr>
          <w:rFonts w:asciiTheme="minorHAnsi" w:hAnsiTheme="minorHAnsi" w:cstheme="minorHAnsi"/>
          <w:sz w:val="24"/>
          <w:szCs w:val="24"/>
        </w:rPr>
        <w:t xml:space="preserve">Clarify </w:t>
      </w:r>
      <w:r w:rsidR="00D4051B">
        <w:rPr>
          <w:rFonts w:asciiTheme="minorHAnsi" w:hAnsiTheme="minorHAnsi" w:cstheme="minorHAnsi"/>
          <w:sz w:val="24"/>
          <w:szCs w:val="24"/>
        </w:rPr>
        <w:t xml:space="preserve">Section </w:t>
      </w:r>
      <w:r w:rsidR="00F47794" w:rsidRPr="00F47794">
        <w:rPr>
          <w:rFonts w:asciiTheme="minorHAnsi" w:hAnsiTheme="minorHAnsi" w:cstheme="minorHAnsi"/>
          <w:sz w:val="24"/>
          <w:szCs w:val="24"/>
        </w:rPr>
        <w:t xml:space="preserve">4.A. Certification of Accuracy by adding language </w:t>
      </w:r>
      <w:r w:rsidR="00F47794">
        <w:rPr>
          <w:rFonts w:asciiTheme="minorHAnsi" w:hAnsiTheme="minorHAnsi" w:cstheme="minorHAnsi"/>
          <w:sz w:val="24"/>
          <w:szCs w:val="24"/>
        </w:rPr>
        <w:t>that r</w:t>
      </w:r>
      <w:r w:rsidR="00F47794" w:rsidRPr="00F47794">
        <w:rPr>
          <w:rFonts w:asciiTheme="minorHAnsi" w:hAnsiTheme="minorHAnsi" w:cstheme="minorHAnsi"/>
          <w:sz w:val="24"/>
          <w:szCs w:val="24"/>
        </w:rPr>
        <w:t>eporting</w:t>
      </w:r>
      <w:r w:rsidR="002A3E49" w:rsidRPr="002A3E49">
        <w:rPr>
          <w:rFonts w:asciiTheme="minorHAnsi" w:hAnsiTheme="minorHAnsi" w:cstheme="minorHAnsi"/>
          <w:sz w:val="24"/>
          <w:szCs w:val="24"/>
        </w:rPr>
        <w:t xml:space="preserve"> entities </w:t>
      </w:r>
      <w:r w:rsidR="00F47794">
        <w:rPr>
          <w:rFonts w:asciiTheme="minorHAnsi" w:hAnsiTheme="minorHAnsi" w:cstheme="minorHAnsi"/>
          <w:sz w:val="24"/>
          <w:szCs w:val="24"/>
        </w:rPr>
        <w:t>will be allowed to</w:t>
      </w:r>
      <w:r w:rsidR="002A3E49" w:rsidRPr="002A3E49">
        <w:rPr>
          <w:rFonts w:asciiTheme="minorHAnsi" w:hAnsiTheme="minorHAnsi" w:cstheme="minorHAnsi"/>
          <w:sz w:val="24"/>
          <w:szCs w:val="24"/>
        </w:rPr>
        <w:t xml:space="preserve"> attest to the accuracy of their notification or report through the MHDO Pharmacy Portal web interface. Confirmation will be documented electronically and will count as the written certification. </w:t>
      </w:r>
    </w:p>
    <w:p w14:paraId="34900D66" w14:textId="01DD41C2" w:rsidR="00023874" w:rsidRPr="00CF634B" w:rsidRDefault="00023874" w:rsidP="00A732B5">
      <w:pPr>
        <w:autoSpaceDE w:val="0"/>
        <w:autoSpaceDN w:val="0"/>
        <w:adjustRightInd w:val="0"/>
        <w:rPr>
          <w:rFonts w:asciiTheme="minorHAnsi" w:hAnsiTheme="minorHAnsi" w:cstheme="minorHAnsi"/>
          <w:b/>
          <w:sz w:val="24"/>
          <w:szCs w:val="24"/>
        </w:rPr>
      </w:pPr>
    </w:p>
    <w:p w14:paraId="203067D3" w14:textId="5B91030D" w:rsidR="00023874" w:rsidRPr="00F47794" w:rsidRDefault="00023874" w:rsidP="00A732B5">
      <w:pPr>
        <w:autoSpaceDE w:val="0"/>
        <w:autoSpaceDN w:val="0"/>
        <w:adjustRightInd w:val="0"/>
        <w:rPr>
          <w:rFonts w:asciiTheme="minorHAnsi" w:hAnsiTheme="minorHAnsi"/>
          <w:sz w:val="24"/>
          <w:szCs w:val="24"/>
        </w:rPr>
      </w:pPr>
      <w:r w:rsidRPr="00F47794">
        <w:rPr>
          <w:rFonts w:asciiTheme="minorHAnsi" w:hAnsiTheme="minorHAnsi" w:cs="Arial"/>
          <w:b/>
          <w:sz w:val="24"/>
          <w:szCs w:val="24"/>
        </w:rPr>
        <w:t>Recommended</w:t>
      </w:r>
      <w:r w:rsidRPr="00F47794">
        <w:rPr>
          <w:rFonts w:asciiTheme="minorHAnsi" w:hAnsiTheme="minorHAnsi"/>
          <w:b/>
          <w:sz w:val="24"/>
          <w:szCs w:val="24"/>
        </w:rPr>
        <w:t xml:space="preserve"> Board Action:</w:t>
      </w:r>
      <w:r w:rsidRPr="00F47794">
        <w:rPr>
          <w:rFonts w:asciiTheme="minorHAnsi" w:hAnsiTheme="minorHAnsi"/>
          <w:sz w:val="24"/>
          <w:szCs w:val="24"/>
        </w:rPr>
        <w:t xml:space="preserve">  </w:t>
      </w:r>
      <w:r w:rsidR="00F47794" w:rsidRPr="00F47794">
        <w:rPr>
          <w:rFonts w:asciiTheme="minorHAnsi" w:hAnsiTheme="minorHAnsi"/>
          <w:sz w:val="24"/>
          <w:szCs w:val="24"/>
        </w:rPr>
        <w:t xml:space="preserve">Amend </w:t>
      </w:r>
      <w:r w:rsidR="00D4051B">
        <w:rPr>
          <w:rFonts w:asciiTheme="minorHAnsi" w:hAnsiTheme="minorHAnsi"/>
          <w:sz w:val="24"/>
          <w:szCs w:val="24"/>
        </w:rPr>
        <w:t xml:space="preserve">Section </w:t>
      </w:r>
      <w:r w:rsidR="00F47794" w:rsidRPr="00F47794">
        <w:rPr>
          <w:rFonts w:asciiTheme="minorHAnsi" w:hAnsiTheme="minorHAnsi"/>
          <w:sz w:val="24"/>
          <w:szCs w:val="24"/>
        </w:rPr>
        <w:t>4.A as follows:</w:t>
      </w:r>
    </w:p>
    <w:p w14:paraId="0DF131A3" w14:textId="0E72B06B" w:rsidR="00F47794" w:rsidRPr="00F47794" w:rsidRDefault="00F47794" w:rsidP="00A732B5">
      <w:pPr>
        <w:autoSpaceDE w:val="0"/>
        <w:autoSpaceDN w:val="0"/>
        <w:adjustRightInd w:val="0"/>
        <w:rPr>
          <w:rFonts w:asciiTheme="minorHAnsi" w:hAnsiTheme="minorHAnsi"/>
          <w:sz w:val="24"/>
          <w:szCs w:val="24"/>
        </w:rPr>
      </w:pPr>
    </w:p>
    <w:p w14:paraId="59405815" w14:textId="16B0AE51" w:rsidR="00F47794" w:rsidRPr="00F47794" w:rsidRDefault="00F47794" w:rsidP="00D4051B">
      <w:pPr>
        <w:autoSpaceDE w:val="0"/>
        <w:autoSpaceDN w:val="0"/>
        <w:adjustRightInd w:val="0"/>
        <w:ind w:left="720"/>
        <w:rPr>
          <w:rFonts w:asciiTheme="minorHAnsi" w:hAnsiTheme="minorHAnsi" w:cstheme="minorHAnsi"/>
          <w:b/>
          <w:sz w:val="24"/>
          <w:szCs w:val="24"/>
          <w:u w:val="single"/>
        </w:rPr>
      </w:pPr>
      <w:r w:rsidRPr="00F47794">
        <w:rPr>
          <w:rFonts w:asciiTheme="minorHAnsi" w:hAnsiTheme="minorHAnsi"/>
          <w:b/>
          <w:sz w:val="24"/>
          <w:szCs w:val="24"/>
        </w:rPr>
        <w:t>Certification of accuracy.</w:t>
      </w:r>
      <w:r w:rsidRPr="00F47794">
        <w:rPr>
          <w:rFonts w:asciiTheme="minorHAnsi" w:hAnsiTheme="minorHAnsi"/>
          <w:sz w:val="24"/>
          <w:szCs w:val="24"/>
        </w:rPr>
        <w:t xml:space="preserve">  A notification or report to the MHDO by a reporting entity shall include a signed, written certification of the notification or report’s accuracy.  </w:t>
      </w:r>
      <w:r w:rsidRPr="00F47794">
        <w:rPr>
          <w:rFonts w:asciiTheme="minorHAnsi" w:hAnsiTheme="minorHAnsi" w:cstheme="minorHAnsi"/>
          <w:sz w:val="24"/>
          <w:szCs w:val="24"/>
          <w:u w:val="single"/>
        </w:rPr>
        <w:t xml:space="preserve">Reporting entities will be allowed to attest to the accuracy of their notification or report through the MHDO Pharmacy Portal web interface. Confirmation will be documented electronically and will count as the written certification. </w:t>
      </w:r>
    </w:p>
    <w:p w14:paraId="742F0B26" w14:textId="12767832" w:rsidR="002B7448" w:rsidRPr="00CF634B" w:rsidRDefault="002B7448" w:rsidP="00A732B5">
      <w:pPr>
        <w:autoSpaceDE w:val="0"/>
        <w:autoSpaceDN w:val="0"/>
        <w:adjustRightInd w:val="0"/>
        <w:rPr>
          <w:rFonts w:asciiTheme="minorHAnsi" w:hAnsiTheme="minorHAnsi" w:cs="Calibri"/>
          <w:b/>
          <w:sz w:val="24"/>
          <w:szCs w:val="24"/>
        </w:rPr>
      </w:pPr>
    </w:p>
    <w:p w14:paraId="213BE085" w14:textId="74E79AEA" w:rsidR="00A732B5" w:rsidRPr="00CF634B" w:rsidRDefault="00A15C41" w:rsidP="00A732B5">
      <w:pPr>
        <w:autoSpaceDE w:val="0"/>
        <w:autoSpaceDN w:val="0"/>
        <w:adjustRightInd w:val="0"/>
        <w:rPr>
          <w:rFonts w:asciiTheme="minorHAnsi" w:hAnsiTheme="minorHAnsi" w:cs="Calibri"/>
          <w:b/>
          <w:sz w:val="24"/>
          <w:szCs w:val="24"/>
        </w:rPr>
      </w:pPr>
      <w:r w:rsidRPr="00CF634B">
        <w:rPr>
          <w:rFonts w:asciiTheme="minorHAnsi" w:hAnsiTheme="minorHAnsi" w:cs="Calibri"/>
          <w:b/>
          <w:sz w:val="24"/>
          <w:szCs w:val="24"/>
        </w:rPr>
        <w:t>Comment-</w:t>
      </w:r>
      <w:r w:rsidR="00A732B5" w:rsidRPr="00CF634B">
        <w:rPr>
          <w:rFonts w:asciiTheme="minorHAnsi" w:hAnsiTheme="minorHAnsi" w:cs="Calibri"/>
          <w:b/>
          <w:sz w:val="24"/>
          <w:szCs w:val="24"/>
        </w:rPr>
        <w:t>Section 4. Compliance – Language regarding scope of the audit and independent auditor.</w:t>
      </w:r>
    </w:p>
    <w:p w14:paraId="209A0285" w14:textId="2559158B"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The proposed rule incorporates a statutory provision that permits MHDO to audit finalized data submitted by reporting entities and that the reporting entity is responsible for the costs of the audit. The rule should include language that the parties agree to the scope of the audit and jointly agree to an independent auditor.</w:t>
      </w:r>
    </w:p>
    <w:p w14:paraId="26E08EF0" w14:textId="77777777" w:rsidR="00A15C41" w:rsidRPr="00CF634B" w:rsidRDefault="00A15C41" w:rsidP="00A732B5">
      <w:pPr>
        <w:autoSpaceDE w:val="0"/>
        <w:autoSpaceDN w:val="0"/>
        <w:adjustRightInd w:val="0"/>
        <w:rPr>
          <w:rFonts w:asciiTheme="minorHAnsi" w:hAnsiTheme="minorHAnsi" w:cstheme="minorHAnsi"/>
          <w:b/>
          <w:sz w:val="24"/>
          <w:szCs w:val="24"/>
        </w:rPr>
      </w:pPr>
    </w:p>
    <w:p w14:paraId="277F1C82" w14:textId="20CF71C6" w:rsidR="00A732B5" w:rsidRPr="00CF634B" w:rsidRDefault="00A732B5" w:rsidP="00A732B5">
      <w:pPr>
        <w:autoSpaceDE w:val="0"/>
        <w:autoSpaceDN w:val="0"/>
        <w:adjustRightInd w:val="0"/>
        <w:rPr>
          <w:rFonts w:asciiTheme="minorHAnsi" w:hAnsiTheme="minorHAnsi" w:cstheme="minorHAnsi"/>
          <w:b/>
          <w:sz w:val="24"/>
          <w:szCs w:val="24"/>
        </w:rPr>
      </w:pPr>
      <w:r w:rsidRPr="00CF634B">
        <w:rPr>
          <w:rFonts w:asciiTheme="minorHAnsi" w:hAnsiTheme="minorHAnsi" w:cstheme="minorHAnsi"/>
          <w:b/>
          <w:sz w:val="24"/>
          <w:szCs w:val="24"/>
        </w:rPr>
        <w:t xml:space="preserve">MHDO </w:t>
      </w:r>
      <w:r w:rsidR="00023874" w:rsidRPr="00CF634B">
        <w:rPr>
          <w:rFonts w:asciiTheme="minorHAnsi" w:hAnsiTheme="minorHAnsi" w:cstheme="minorHAnsi"/>
          <w:b/>
          <w:sz w:val="24"/>
          <w:szCs w:val="24"/>
        </w:rPr>
        <w:t>Staff Response</w:t>
      </w:r>
      <w:r w:rsidR="002B7448" w:rsidRPr="00CF634B">
        <w:rPr>
          <w:rFonts w:asciiTheme="minorHAnsi" w:hAnsiTheme="minorHAnsi" w:cstheme="minorHAnsi"/>
          <w:b/>
          <w:sz w:val="24"/>
          <w:szCs w:val="24"/>
        </w:rPr>
        <w:t xml:space="preserve">:  </w:t>
      </w:r>
      <w:r w:rsidR="00FB60B5" w:rsidRPr="00CD196E">
        <w:rPr>
          <w:rFonts w:asciiTheme="minorHAnsi" w:hAnsiTheme="minorHAnsi" w:cstheme="minorHAnsi"/>
          <w:sz w:val="24"/>
          <w:szCs w:val="24"/>
        </w:rPr>
        <w:t>Add language</w:t>
      </w:r>
      <w:r w:rsidR="006524C0" w:rsidRPr="00CD196E">
        <w:rPr>
          <w:rFonts w:asciiTheme="minorHAnsi" w:hAnsiTheme="minorHAnsi" w:cstheme="minorHAnsi"/>
          <w:sz w:val="24"/>
          <w:szCs w:val="24"/>
        </w:rPr>
        <w:t xml:space="preserve"> to Section 4.</w:t>
      </w:r>
      <w:r w:rsidR="00556711" w:rsidRPr="00CD196E">
        <w:rPr>
          <w:rFonts w:asciiTheme="minorHAnsi" w:hAnsiTheme="minorHAnsi" w:cstheme="minorHAnsi"/>
          <w:sz w:val="24"/>
          <w:szCs w:val="24"/>
        </w:rPr>
        <w:t>B.</w:t>
      </w:r>
      <w:r w:rsidR="006524C0" w:rsidRPr="00CD196E">
        <w:rPr>
          <w:rFonts w:asciiTheme="minorHAnsi" w:hAnsiTheme="minorHAnsi" w:cstheme="minorHAnsi"/>
          <w:sz w:val="24"/>
          <w:szCs w:val="24"/>
        </w:rPr>
        <w:t xml:space="preserve"> </w:t>
      </w:r>
      <w:r w:rsidR="00A6776C">
        <w:rPr>
          <w:rFonts w:asciiTheme="minorHAnsi" w:hAnsiTheme="minorHAnsi" w:cstheme="minorHAnsi"/>
          <w:sz w:val="24"/>
          <w:szCs w:val="24"/>
        </w:rPr>
        <w:t>that states that the MHDO will consider recommendations from the reporting entity as to the scope of the audit and the selection of the independent auditor.</w:t>
      </w:r>
    </w:p>
    <w:p w14:paraId="6A78E599" w14:textId="616E23C6" w:rsidR="00023874" w:rsidRPr="00CF634B" w:rsidRDefault="00023874" w:rsidP="00A732B5">
      <w:pPr>
        <w:autoSpaceDE w:val="0"/>
        <w:autoSpaceDN w:val="0"/>
        <w:adjustRightInd w:val="0"/>
        <w:rPr>
          <w:rFonts w:asciiTheme="minorHAnsi" w:hAnsiTheme="minorHAnsi" w:cstheme="minorHAnsi"/>
          <w:b/>
          <w:sz w:val="24"/>
          <w:szCs w:val="24"/>
        </w:rPr>
      </w:pPr>
    </w:p>
    <w:p w14:paraId="2388216F" w14:textId="1A811073" w:rsidR="00556711" w:rsidRPr="00CF634B" w:rsidRDefault="00023874" w:rsidP="00556711">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CD196E">
        <w:rPr>
          <w:rFonts w:asciiTheme="minorHAnsi" w:hAnsiTheme="minorHAnsi"/>
          <w:sz w:val="24"/>
          <w:szCs w:val="24"/>
        </w:rPr>
        <w:t>Amend Section 4.B. Audit as follows</w:t>
      </w:r>
    </w:p>
    <w:p w14:paraId="4EF8136D" w14:textId="77777777" w:rsidR="00556711" w:rsidRPr="00CF634B" w:rsidRDefault="00556711" w:rsidP="00556711">
      <w:pPr>
        <w:autoSpaceDE w:val="0"/>
        <w:autoSpaceDN w:val="0"/>
        <w:adjustRightInd w:val="0"/>
        <w:rPr>
          <w:rFonts w:asciiTheme="minorHAnsi" w:hAnsiTheme="minorHAnsi"/>
          <w:sz w:val="24"/>
          <w:szCs w:val="24"/>
        </w:rPr>
      </w:pPr>
    </w:p>
    <w:p w14:paraId="6B70832F" w14:textId="45BCEF0A" w:rsidR="00556711" w:rsidRPr="00CF634B" w:rsidRDefault="00556711" w:rsidP="000A117D">
      <w:pPr>
        <w:autoSpaceDE w:val="0"/>
        <w:autoSpaceDN w:val="0"/>
        <w:adjustRightInd w:val="0"/>
        <w:ind w:left="720"/>
        <w:rPr>
          <w:rFonts w:asciiTheme="minorHAnsi" w:hAnsiTheme="minorHAnsi" w:cstheme="minorHAnsi"/>
          <w:sz w:val="24"/>
          <w:szCs w:val="24"/>
          <w:u w:val="single"/>
        </w:rPr>
      </w:pPr>
      <w:r w:rsidRPr="000A117D">
        <w:rPr>
          <w:rFonts w:asciiTheme="minorHAnsi" w:hAnsiTheme="minorHAnsi"/>
          <w:b/>
          <w:sz w:val="24"/>
          <w:szCs w:val="24"/>
        </w:rPr>
        <w:t>Section 4.B.</w:t>
      </w:r>
      <w:r w:rsidRPr="00CF634B">
        <w:rPr>
          <w:rFonts w:asciiTheme="minorHAnsi" w:hAnsiTheme="minorHAnsi"/>
          <w:sz w:val="24"/>
          <w:szCs w:val="24"/>
        </w:rPr>
        <w:t xml:space="preserve"> </w:t>
      </w:r>
      <w:r w:rsidRPr="00CF634B">
        <w:rPr>
          <w:rFonts w:asciiTheme="minorHAnsi" w:hAnsiTheme="minorHAnsi"/>
          <w:b/>
          <w:sz w:val="24"/>
          <w:szCs w:val="24"/>
        </w:rPr>
        <w:t>Audit.</w:t>
      </w:r>
      <w:r w:rsidRPr="00CF634B">
        <w:rPr>
          <w:rFonts w:asciiTheme="minorHAnsi" w:hAnsiTheme="minorHAnsi"/>
          <w:sz w:val="24"/>
          <w:szCs w:val="24"/>
        </w:rPr>
        <w:t xml:space="preserve"> </w:t>
      </w:r>
      <w:r w:rsidR="00A6776C">
        <w:rPr>
          <w:rFonts w:asciiTheme="minorHAnsi" w:hAnsiTheme="minorHAnsi"/>
          <w:sz w:val="24"/>
          <w:szCs w:val="24"/>
        </w:rPr>
        <w:t>W</w:t>
      </w:r>
      <w:r w:rsidRPr="00CF634B">
        <w:rPr>
          <w:rFonts w:asciiTheme="minorHAnsi" w:hAnsiTheme="minorHAnsi"/>
          <w:sz w:val="24"/>
          <w:szCs w:val="24"/>
        </w:rPr>
        <w:t>ith a 30-day notice, the MHDO may audit the finalized data submitted by a reporting entity, and that entity shall pay for the costs of the audit</w:t>
      </w:r>
      <w:r w:rsidRPr="000502BF">
        <w:rPr>
          <w:rFonts w:asciiTheme="minorHAnsi" w:hAnsiTheme="minorHAnsi"/>
          <w:sz w:val="24"/>
          <w:szCs w:val="24"/>
        </w:rPr>
        <w:t xml:space="preserve">.  </w:t>
      </w:r>
      <w:r w:rsidR="00A6776C" w:rsidRPr="000502BF">
        <w:rPr>
          <w:rFonts w:asciiTheme="minorHAnsi" w:hAnsiTheme="minorHAnsi"/>
          <w:sz w:val="24"/>
          <w:szCs w:val="24"/>
          <w:u w:val="single"/>
        </w:rPr>
        <w:t>The MHDO will consider recommendations from the reporting entity as to the scope of the audit and the selection of the independent auditor.</w:t>
      </w:r>
    </w:p>
    <w:p w14:paraId="3D98C55C" w14:textId="1848E3B2" w:rsidR="007C4960" w:rsidRPr="00CF634B" w:rsidRDefault="007C4960" w:rsidP="007C4960">
      <w:pPr>
        <w:spacing w:before="1"/>
        <w:rPr>
          <w:rFonts w:asciiTheme="minorHAnsi" w:eastAsia="Arial" w:hAnsiTheme="minorHAnsi" w:cs="Arial"/>
          <w:sz w:val="24"/>
          <w:szCs w:val="24"/>
        </w:rPr>
      </w:pPr>
    </w:p>
    <w:p w14:paraId="3584BD5C" w14:textId="57D0B4FB" w:rsidR="000B1F81" w:rsidRPr="00CF634B" w:rsidRDefault="00A732B5" w:rsidP="00921933">
      <w:pPr>
        <w:rPr>
          <w:rFonts w:asciiTheme="minorHAnsi" w:hAnsiTheme="minorHAnsi" w:cs="Arial"/>
          <w:b/>
          <w:sz w:val="24"/>
          <w:szCs w:val="24"/>
        </w:rPr>
      </w:pPr>
      <w:r w:rsidRPr="00CF634B">
        <w:rPr>
          <w:rFonts w:asciiTheme="minorHAnsi" w:hAnsiTheme="minorHAnsi" w:cs="Arial"/>
          <w:b/>
          <w:sz w:val="24"/>
          <w:szCs w:val="24"/>
        </w:rPr>
        <w:t>Comment-</w:t>
      </w:r>
      <w:r w:rsidR="000B1F81" w:rsidRPr="00CF634B">
        <w:rPr>
          <w:rFonts w:asciiTheme="minorHAnsi" w:hAnsiTheme="minorHAnsi" w:cs="Arial"/>
          <w:b/>
          <w:sz w:val="24"/>
          <w:szCs w:val="24"/>
        </w:rPr>
        <w:t>Retroactivity of Proposed Rules</w:t>
      </w:r>
    </w:p>
    <w:p w14:paraId="6B94C6F5" w14:textId="77777777" w:rsidR="000B1F81" w:rsidRPr="00CF634B" w:rsidRDefault="000B1F81" w:rsidP="000B1F81">
      <w:pPr>
        <w:rPr>
          <w:rFonts w:asciiTheme="minorHAnsi" w:hAnsiTheme="minorHAnsi" w:cs="Arial"/>
          <w:sz w:val="24"/>
          <w:szCs w:val="24"/>
        </w:rPr>
      </w:pPr>
      <w:r w:rsidRPr="00CF634B">
        <w:rPr>
          <w:rFonts w:asciiTheme="minorHAnsi" w:hAnsiTheme="minorHAnsi" w:cs="Arial"/>
          <w:sz w:val="24"/>
          <w:szCs w:val="24"/>
        </w:rPr>
        <w:t>The proposed rules do not indicate whether Chapter 470 (LD 1162) applies retroactively by taking into account price increases made before the statute’s effective date of September 19, 2019. If the implementing regulations either make the statute retroactive in application, or fail to clarify this important issue, the potential retroactive application would raise serious constitutional problems with Chapter 470.</w:t>
      </w:r>
    </w:p>
    <w:p w14:paraId="45A19ADE" w14:textId="77777777" w:rsidR="000B1F81" w:rsidRPr="00CF634B" w:rsidRDefault="000B1F81" w:rsidP="000B1F81">
      <w:pPr>
        <w:rPr>
          <w:rFonts w:asciiTheme="minorHAnsi" w:hAnsiTheme="minorHAnsi" w:cs="Arial"/>
          <w:sz w:val="24"/>
          <w:szCs w:val="24"/>
        </w:rPr>
      </w:pPr>
    </w:p>
    <w:p w14:paraId="694D115D" w14:textId="71E8823F" w:rsidR="000B1F81" w:rsidRPr="00CF634B" w:rsidRDefault="000B1F81" w:rsidP="000B1F81">
      <w:pPr>
        <w:pStyle w:val="BodyText"/>
        <w:spacing w:before="41"/>
        <w:ind w:right="124"/>
        <w:rPr>
          <w:rFonts w:asciiTheme="minorHAnsi" w:hAnsiTheme="minorHAnsi" w:cs="Arial"/>
          <w:b w:val="0"/>
          <w:sz w:val="24"/>
          <w:szCs w:val="24"/>
          <w:u w:val="none"/>
        </w:rPr>
      </w:pPr>
      <w:r w:rsidRPr="00CF634B">
        <w:rPr>
          <w:rFonts w:asciiTheme="minorHAnsi" w:hAnsiTheme="minorHAnsi" w:cs="Arial"/>
          <w:b w:val="0"/>
          <w:sz w:val="24"/>
          <w:szCs w:val="24"/>
          <w:u w:val="none"/>
        </w:rPr>
        <w:t>Section 8732(1) requires manufacturers to provide notice on January 30, 2020, and annually thereafter based on price increases made “during the prior calendar year.” The statute does not define the phrase “during the prior calendar year,” nor does it otherwise indicate whether price increases made before the law’s September 19, 2019 effective date count toward the price-increase thresholds set forth in Section 8732(1). Under the “deeply rooted” “presumption against retroactive legislation,” the fact that Section 8732(1) does not expressly cover price increases made before its effective date means that it does not include those price increases. Landgraf v. USI Film Prods., 511 U.S. 244, 265 (1994). The rules should thus make clear that only price increases taken on or after September 19, 2019 count toward Section 8372(1)’s thresholds.</w:t>
      </w:r>
    </w:p>
    <w:p w14:paraId="4CA00742" w14:textId="77777777" w:rsidR="000B1F81" w:rsidRPr="00CF634B" w:rsidRDefault="000B1F81" w:rsidP="000B1F81">
      <w:pPr>
        <w:pStyle w:val="BodyText"/>
        <w:spacing w:before="41"/>
        <w:ind w:left="200" w:right="124"/>
        <w:rPr>
          <w:rFonts w:asciiTheme="minorHAnsi" w:hAnsiTheme="minorHAnsi" w:cs="Arial"/>
          <w:b w:val="0"/>
          <w:sz w:val="24"/>
          <w:szCs w:val="24"/>
          <w:u w:val="none"/>
        </w:rPr>
      </w:pPr>
    </w:p>
    <w:p w14:paraId="32434D16" w14:textId="77777777" w:rsidR="000B1F81" w:rsidRPr="00CF634B" w:rsidRDefault="000B1F81" w:rsidP="000B1F81">
      <w:pPr>
        <w:pStyle w:val="BodyText"/>
        <w:spacing w:before="41"/>
        <w:ind w:right="124"/>
        <w:rPr>
          <w:rFonts w:asciiTheme="minorHAnsi" w:hAnsiTheme="minorHAnsi" w:cs="Arial"/>
          <w:b w:val="0"/>
          <w:sz w:val="24"/>
          <w:szCs w:val="24"/>
          <w:u w:val="none"/>
        </w:rPr>
      </w:pPr>
      <w:r w:rsidRPr="00CF634B">
        <w:rPr>
          <w:rFonts w:asciiTheme="minorHAnsi" w:hAnsiTheme="minorHAnsi" w:cs="Arial"/>
          <w:b w:val="0"/>
          <w:sz w:val="24"/>
          <w:szCs w:val="24"/>
          <w:u w:val="none"/>
        </w:rPr>
        <w:t>Without such clarification, the statute would be impermissibly vague. Statutes must provide regulated entities “fair notice of what is prohibited.” FCC v. Fox Television Stations, Inc., 567 U.S. 239, 253 (2012). Although the presumption against retroactivity requires that Section 8732(1) cover only prospective price increases, PhRMA’s members currently have no assurance that MHDO will not interpret the law to cover price increases undertaken prior to its effective date. A federal district court in California has held that a similar law raised due process concerns where the statute “d[id] not articulate, and California w[</w:t>
      </w:r>
      <w:proofErr w:type="spellStart"/>
      <w:r w:rsidRPr="00CF634B">
        <w:rPr>
          <w:rFonts w:asciiTheme="minorHAnsi" w:hAnsiTheme="minorHAnsi" w:cs="Arial"/>
          <w:b w:val="0"/>
          <w:sz w:val="24"/>
          <w:szCs w:val="24"/>
          <w:u w:val="none"/>
        </w:rPr>
        <w:t>ould</w:t>
      </w:r>
      <w:proofErr w:type="spellEnd"/>
      <w:r w:rsidRPr="00CF634B">
        <w:rPr>
          <w:rFonts w:asciiTheme="minorHAnsi" w:hAnsiTheme="minorHAnsi" w:cs="Arial"/>
          <w:b w:val="0"/>
          <w:sz w:val="24"/>
          <w:szCs w:val="24"/>
          <w:u w:val="none"/>
        </w:rPr>
        <w:t>] not clarify,” whether the thresholds for price-increase notifications “will be applied retroactively.” Order at 2, PhRMA v. David, No. 2:17-cv-2573, ECF No. 55 (E.D. Cal. July 31, 2019).</w:t>
      </w:r>
    </w:p>
    <w:p w14:paraId="5AF1243A" w14:textId="77777777" w:rsidR="000B1F81" w:rsidRPr="00CF634B" w:rsidRDefault="000B1F81" w:rsidP="000B1F81">
      <w:pPr>
        <w:pStyle w:val="BodyText"/>
        <w:spacing w:before="41"/>
        <w:ind w:right="124"/>
        <w:rPr>
          <w:rFonts w:asciiTheme="minorHAnsi" w:hAnsiTheme="minorHAnsi" w:cs="Arial"/>
          <w:b w:val="0"/>
          <w:sz w:val="24"/>
          <w:szCs w:val="24"/>
          <w:u w:val="none"/>
        </w:rPr>
      </w:pPr>
    </w:p>
    <w:p w14:paraId="77615FFF" w14:textId="1A98A714" w:rsidR="00B42ED6" w:rsidRPr="00CF634B" w:rsidRDefault="000B1F81" w:rsidP="000B1F81">
      <w:pPr>
        <w:pStyle w:val="BodyText"/>
        <w:spacing w:before="41"/>
        <w:ind w:right="124"/>
        <w:rPr>
          <w:rFonts w:asciiTheme="minorHAnsi" w:hAnsiTheme="minorHAnsi" w:cs="Arial"/>
          <w:b w:val="0"/>
          <w:sz w:val="24"/>
          <w:szCs w:val="24"/>
          <w:u w:val="none"/>
        </w:rPr>
      </w:pPr>
      <w:r w:rsidRPr="00CF634B">
        <w:rPr>
          <w:rFonts w:asciiTheme="minorHAnsi" w:hAnsiTheme="minorHAnsi" w:cs="Arial"/>
          <w:b w:val="0"/>
          <w:sz w:val="24"/>
          <w:szCs w:val="24"/>
          <w:u w:val="none"/>
        </w:rPr>
        <w:t>The proposed rules should therefore be amended to clarify that only price increases taken on or after September 19, 2019, count toward the price increase thresholds set forth in Section 8372(1).</w:t>
      </w:r>
    </w:p>
    <w:p w14:paraId="6D4E5C77" w14:textId="77777777" w:rsidR="008E23F1" w:rsidRPr="00CF634B" w:rsidRDefault="008E23F1" w:rsidP="000B1F81">
      <w:pPr>
        <w:pStyle w:val="BodyText"/>
        <w:spacing w:before="41"/>
        <w:ind w:right="124"/>
        <w:rPr>
          <w:rFonts w:asciiTheme="minorHAnsi" w:hAnsiTheme="minorHAnsi" w:cs="Arial"/>
          <w:b w:val="0"/>
          <w:sz w:val="24"/>
          <w:szCs w:val="24"/>
          <w:u w:val="none"/>
        </w:rPr>
      </w:pPr>
    </w:p>
    <w:p w14:paraId="0734B8B7" w14:textId="689429BD" w:rsidR="007C4960" w:rsidRPr="00CF634B" w:rsidRDefault="007C4960" w:rsidP="007C4960">
      <w:pPr>
        <w:rPr>
          <w:rFonts w:asciiTheme="minorHAnsi" w:hAnsiTheme="minorHAnsi" w:cs="Arial"/>
          <w:b/>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w:t>
      </w:r>
      <w:r w:rsidR="00E83506" w:rsidRPr="00CF634B">
        <w:rPr>
          <w:rFonts w:asciiTheme="minorHAnsi" w:hAnsiTheme="minorHAnsi" w:cs="Arial"/>
          <w:b/>
          <w:sz w:val="24"/>
          <w:szCs w:val="24"/>
        </w:rPr>
        <w:t xml:space="preserve">  </w:t>
      </w:r>
      <w:r w:rsidR="00E97A04">
        <w:rPr>
          <w:rFonts w:asciiTheme="minorHAnsi" w:hAnsiTheme="minorHAnsi" w:cs="Arial"/>
          <w:sz w:val="24"/>
          <w:szCs w:val="24"/>
        </w:rPr>
        <w:t>Amend</w:t>
      </w:r>
      <w:r w:rsidR="00E83506" w:rsidRPr="00CD196E">
        <w:rPr>
          <w:rFonts w:asciiTheme="minorHAnsi" w:hAnsiTheme="minorHAnsi" w:cs="Arial"/>
          <w:sz w:val="24"/>
          <w:szCs w:val="24"/>
        </w:rPr>
        <w:t xml:space="preserve"> the proposed rule to clarify that price increases on or after September </w:t>
      </w:r>
      <w:r w:rsidR="00844B17">
        <w:rPr>
          <w:rFonts w:asciiTheme="minorHAnsi" w:hAnsiTheme="minorHAnsi" w:cs="Arial"/>
          <w:sz w:val="24"/>
          <w:szCs w:val="24"/>
        </w:rPr>
        <w:t>19</w:t>
      </w:r>
      <w:r w:rsidR="00E83506" w:rsidRPr="00CD196E">
        <w:rPr>
          <w:rFonts w:asciiTheme="minorHAnsi" w:hAnsiTheme="minorHAnsi" w:cs="Arial"/>
          <w:sz w:val="24"/>
          <w:szCs w:val="24"/>
        </w:rPr>
        <w:t xml:space="preserve">, 2019 count toward the price increase thresholds set forth in Section 2.B. </w:t>
      </w:r>
      <w:r w:rsidR="00E83506" w:rsidRPr="00CD196E">
        <w:rPr>
          <w:rFonts w:asciiTheme="minorHAnsi" w:hAnsiTheme="minorHAnsi"/>
          <w:sz w:val="24"/>
          <w:szCs w:val="24"/>
        </w:rPr>
        <w:t>Notifications by Manufacturers</w:t>
      </w:r>
      <w:r w:rsidR="00CD196E">
        <w:rPr>
          <w:rFonts w:asciiTheme="minorHAnsi" w:hAnsiTheme="minorHAnsi" w:cs="Arial"/>
          <w:b/>
          <w:sz w:val="24"/>
          <w:szCs w:val="24"/>
        </w:rPr>
        <w:t>.</w:t>
      </w:r>
    </w:p>
    <w:p w14:paraId="0C9F0B5E" w14:textId="77777777" w:rsidR="007C4960" w:rsidRPr="00CF634B" w:rsidRDefault="007C4960" w:rsidP="007C4960">
      <w:pPr>
        <w:rPr>
          <w:rFonts w:asciiTheme="minorHAnsi" w:hAnsiTheme="minorHAnsi" w:cs="Arial"/>
          <w:b/>
          <w:sz w:val="24"/>
          <w:szCs w:val="24"/>
        </w:rPr>
      </w:pPr>
    </w:p>
    <w:p w14:paraId="0D23C6E2" w14:textId="31F0D145" w:rsidR="00E83506" w:rsidRPr="00CF634B" w:rsidRDefault="00023874" w:rsidP="00E83506">
      <w:pPr>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bookmarkStart w:id="2" w:name="_Hlk29039330"/>
      <w:r w:rsidR="00E83506" w:rsidRPr="00CF634B">
        <w:rPr>
          <w:rFonts w:asciiTheme="minorHAnsi" w:hAnsiTheme="minorHAnsi"/>
          <w:sz w:val="24"/>
          <w:szCs w:val="24"/>
        </w:rPr>
        <w:t xml:space="preserve">Amend </w:t>
      </w:r>
      <w:r w:rsidR="000A117D">
        <w:rPr>
          <w:rFonts w:asciiTheme="minorHAnsi" w:hAnsiTheme="minorHAnsi"/>
          <w:sz w:val="24"/>
          <w:szCs w:val="24"/>
        </w:rPr>
        <w:t xml:space="preserve">Section </w:t>
      </w:r>
      <w:r w:rsidR="00E83506" w:rsidRPr="00CF634B">
        <w:rPr>
          <w:rFonts w:asciiTheme="minorHAnsi" w:hAnsiTheme="minorHAnsi"/>
          <w:sz w:val="24"/>
          <w:szCs w:val="24"/>
        </w:rPr>
        <w:t>2.B</w:t>
      </w:r>
      <w:r w:rsidR="006A4BE3">
        <w:rPr>
          <w:rFonts w:asciiTheme="minorHAnsi" w:hAnsiTheme="minorHAnsi"/>
          <w:sz w:val="24"/>
          <w:szCs w:val="24"/>
        </w:rPr>
        <w:t>.</w:t>
      </w:r>
      <w:r w:rsidR="00E83506" w:rsidRPr="00CF634B">
        <w:rPr>
          <w:rFonts w:asciiTheme="minorHAnsi" w:hAnsiTheme="minorHAnsi"/>
          <w:sz w:val="24"/>
          <w:szCs w:val="24"/>
        </w:rPr>
        <w:t xml:space="preserve"> Notifications by Manufacturers as follows:</w:t>
      </w:r>
    </w:p>
    <w:p w14:paraId="15838329" w14:textId="77777777" w:rsidR="00E83506" w:rsidRPr="00CF634B" w:rsidRDefault="00E83506" w:rsidP="00E83506">
      <w:pPr>
        <w:rPr>
          <w:rFonts w:asciiTheme="minorHAnsi" w:hAnsiTheme="minorHAnsi"/>
          <w:sz w:val="24"/>
          <w:szCs w:val="24"/>
        </w:rPr>
      </w:pPr>
    </w:p>
    <w:p w14:paraId="56F372E7" w14:textId="77777777" w:rsidR="00A6776C" w:rsidRDefault="00E83506" w:rsidP="000A117D">
      <w:pPr>
        <w:ind w:left="720"/>
        <w:rPr>
          <w:rFonts w:asciiTheme="minorHAnsi" w:hAnsiTheme="minorHAnsi"/>
          <w:sz w:val="24"/>
          <w:szCs w:val="24"/>
        </w:rPr>
      </w:pPr>
      <w:r w:rsidRPr="000A117D">
        <w:rPr>
          <w:rFonts w:asciiTheme="minorHAnsi" w:hAnsiTheme="minorHAnsi"/>
          <w:b/>
          <w:sz w:val="24"/>
          <w:szCs w:val="24"/>
        </w:rPr>
        <w:t>2.B</w:t>
      </w:r>
      <w:r w:rsidR="006A4BE3">
        <w:rPr>
          <w:rFonts w:asciiTheme="minorHAnsi" w:hAnsiTheme="minorHAnsi"/>
          <w:b/>
          <w:sz w:val="24"/>
          <w:szCs w:val="24"/>
        </w:rPr>
        <w:t xml:space="preserve">. </w:t>
      </w:r>
      <w:r w:rsidRPr="000A117D">
        <w:rPr>
          <w:rFonts w:asciiTheme="minorHAnsi" w:hAnsiTheme="minorHAnsi"/>
          <w:b/>
          <w:sz w:val="24"/>
          <w:szCs w:val="24"/>
        </w:rPr>
        <w:t xml:space="preserve"> Notifications by Manufacturers</w:t>
      </w:r>
      <w:bookmarkEnd w:id="2"/>
      <w:r w:rsidRPr="00CF634B">
        <w:rPr>
          <w:rFonts w:asciiTheme="minorHAnsi" w:hAnsiTheme="minorHAnsi"/>
          <w:sz w:val="24"/>
          <w:szCs w:val="24"/>
        </w:rPr>
        <w:t>.    No later than March 31st, 2020 and January 30th of each year thereafter, a manufacturer shall notify the MHDO via the MHDO Pharmacy Portal web interface when the manufacturer has during the prior calendar year:</w:t>
      </w:r>
    </w:p>
    <w:p w14:paraId="2AA120A8" w14:textId="77777777" w:rsidR="00A6776C" w:rsidRDefault="00A6776C" w:rsidP="000A117D">
      <w:pPr>
        <w:ind w:left="720"/>
        <w:rPr>
          <w:rFonts w:asciiTheme="minorHAnsi" w:hAnsiTheme="minorHAnsi"/>
          <w:sz w:val="24"/>
          <w:szCs w:val="24"/>
          <w:u w:val="single"/>
        </w:rPr>
      </w:pPr>
    </w:p>
    <w:p w14:paraId="229A1780" w14:textId="25B33153" w:rsidR="00E83506" w:rsidRPr="00CF634B" w:rsidRDefault="00E83506" w:rsidP="000A117D">
      <w:pPr>
        <w:ind w:left="720"/>
        <w:rPr>
          <w:rFonts w:asciiTheme="minorHAnsi" w:hAnsiTheme="minorHAnsi"/>
          <w:sz w:val="24"/>
          <w:szCs w:val="24"/>
          <w:u w:val="single"/>
        </w:rPr>
      </w:pPr>
      <w:r w:rsidRPr="00CF634B">
        <w:rPr>
          <w:rFonts w:asciiTheme="minorHAnsi" w:hAnsiTheme="minorHAnsi"/>
          <w:sz w:val="24"/>
          <w:szCs w:val="24"/>
          <w:u w:val="single"/>
        </w:rPr>
        <w:t xml:space="preserve">(Note:  </w:t>
      </w:r>
      <w:r w:rsidR="00141941">
        <w:rPr>
          <w:rFonts w:asciiTheme="minorHAnsi" w:hAnsiTheme="minorHAnsi"/>
          <w:sz w:val="24"/>
          <w:szCs w:val="24"/>
          <w:u w:val="single"/>
        </w:rPr>
        <w:t>Only those p</w:t>
      </w:r>
      <w:r w:rsidRPr="00CF634B">
        <w:rPr>
          <w:rFonts w:asciiTheme="minorHAnsi" w:hAnsiTheme="minorHAnsi"/>
          <w:sz w:val="24"/>
          <w:szCs w:val="24"/>
          <w:u w:val="single"/>
        </w:rPr>
        <w:t xml:space="preserve">rice increases taken on or after September 19, 2019 count toward the thresholds defined </w:t>
      </w:r>
      <w:r w:rsidRPr="00A6776C">
        <w:rPr>
          <w:rFonts w:asciiTheme="minorHAnsi" w:hAnsiTheme="minorHAnsi"/>
          <w:sz w:val="24"/>
          <w:szCs w:val="24"/>
          <w:u w:val="single"/>
        </w:rPr>
        <w:t>belo</w:t>
      </w:r>
      <w:r w:rsidRPr="000502BF">
        <w:rPr>
          <w:rFonts w:asciiTheme="minorHAnsi" w:hAnsiTheme="minorHAnsi"/>
          <w:sz w:val="24"/>
          <w:szCs w:val="24"/>
          <w:u w:val="single"/>
        </w:rPr>
        <w:t>w</w:t>
      </w:r>
      <w:r w:rsidR="00AA72F2" w:rsidRPr="000502BF">
        <w:rPr>
          <w:rFonts w:asciiTheme="minorHAnsi" w:hAnsiTheme="minorHAnsi"/>
          <w:sz w:val="24"/>
          <w:szCs w:val="24"/>
          <w:u w:val="single"/>
        </w:rPr>
        <w:t>.</w:t>
      </w:r>
      <w:r w:rsidRPr="000502BF">
        <w:rPr>
          <w:rFonts w:asciiTheme="minorHAnsi" w:hAnsiTheme="minorHAnsi"/>
          <w:sz w:val="24"/>
          <w:szCs w:val="24"/>
          <w:u w:val="single"/>
        </w:rPr>
        <w:t>)</w:t>
      </w:r>
    </w:p>
    <w:p w14:paraId="78B1E8C2" w14:textId="5C3B6026" w:rsidR="00011D04" w:rsidRPr="00CF634B" w:rsidRDefault="00011D04" w:rsidP="00011D04">
      <w:pPr>
        <w:rPr>
          <w:rFonts w:asciiTheme="minorHAnsi" w:hAnsiTheme="minorHAnsi" w:cs="Arial"/>
          <w:sz w:val="24"/>
          <w:szCs w:val="24"/>
        </w:rPr>
      </w:pPr>
    </w:p>
    <w:p w14:paraId="4B35AEEB" w14:textId="7152926C" w:rsidR="00011D04" w:rsidRPr="00933CA8" w:rsidRDefault="00011D04" w:rsidP="00A15C41">
      <w:pPr>
        <w:pStyle w:val="ListParagraph"/>
        <w:numPr>
          <w:ilvl w:val="0"/>
          <w:numId w:val="38"/>
        </w:numPr>
        <w:rPr>
          <w:rFonts w:asciiTheme="minorHAnsi" w:hAnsiTheme="minorHAnsi" w:cs="Arial"/>
          <w:b/>
          <w:sz w:val="28"/>
          <w:szCs w:val="28"/>
        </w:rPr>
      </w:pPr>
      <w:r w:rsidRPr="00933CA8">
        <w:rPr>
          <w:rFonts w:asciiTheme="minorHAnsi" w:hAnsiTheme="minorHAnsi" w:cs="Arial"/>
          <w:b/>
          <w:sz w:val="28"/>
          <w:szCs w:val="28"/>
        </w:rPr>
        <w:t xml:space="preserve">The Association for Accessible Medicines (AAM) </w:t>
      </w:r>
      <w:r w:rsidR="00A15C41" w:rsidRPr="00933CA8">
        <w:rPr>
          <w:rFonts w:asciiTheme="minorHAnsi" w:hAnsiTheme="minorHAnsi" w:cs="Arial"/>
          <w:b/>
          <w:sz w:val="28"/>
          <w:szCs w:val="28"/>
        </w:rPr>
        <w:t>submitted</w:t>
      </w:r>
      <w:r w:rsidRPr="00933CA8">
        <w:rPr>
          <w:rFonts w:asciiTheme="minorHAnsi" w:hAnsiTheme="minorHAnsi" w:cs="Arial"/>
          <w:b/>
          <w:sz w:val="28"/>
          <w:szCs w:val="28"/>
        </w:rPr>
        <w:t xml:space="preserve"> the following comments:</w:t>
      </w:r>
    </w:p>
    <w:p w14:paraId="1C1D54D3" w14:textId="2C4BF227" w:rsidR="00152E57" w:rsidRPr="00CF634B" w:rsidRDefault="00152E57" w:rsidP="00152E57">
      <w:pPr>
        <w:rPr>
          <w:rFonts w:asciiTheme="minorHAnsi" w:hAnsiTheme="minorHAnsi" w:cstheme="minorHAnsi"/>
          <w:b/>
          <w:sz w:val="24"/>
          <w:szCs w:val="24"/>
        </w:rPr>
      </w:pPr>
      <w:r w:rsidRPr="00CF634B">
        <w:rPr>
          <w:rFonts w:asciiTheme="minorHAnsi" w:hAnsiTheme="minorHAnsi" w:cs="Arial"/>
          <w:b/>
          <w:sz w:val="24"/>
          <w:szCs w:val="24"/>
        </w:rPr>
        <w:t>Comment-</w:t>
      </w:r>
      <w:r w:rsidRPr="00CF634B">
        <w:rPr>
          <w:rFonts w:asciiTheme="minorHAnsi" w:hAnsiTheme="minorHAnsi" w:cstheme="minorHAnsi"/>
          <w:b/>
          <w:sz w:val="24"/>
          <w:szCs w:val="24"/>
        </w:rPr>
        <w:t xml:space="preserve"> Section 1 – Definitions – “Brand-name Drug” and “Generic Drug”</w:t>
      </w:r>
    </w:p>
    <w:p w14:paraId="5D1A96FB" w14:textId="22D9B8C0" w:rsidR="00E97E97" w:rsidRPr="00CF634B" w:rsidRDefault="00FD74E5" w:rsidP="002F1B0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Brand-name drug and Generic drug</w:t>
      </w:r>
      <w:r w:rsidRPr="00CF634B">
        <w:rPr>
          <w:rFonts w:asciiTheme="minorHAnsi" w:hAnsiTheme="minorHAnsi" w:cs="Arial"/>
          <w:b w:val="0"/>
          <w:szCs w:val="24"/>
          <w:u w:val="none"/>
        </w:rPr>
        <w:t>. The proposed rule incorporates the statutory definitions but does not address those instances where a drug approved by FDA as a generic under the Abbreviated New Drug Application pathway is marketed using a proprietary name. As such, it is unclear whether branded generics should be reported as Brand-name or Generic drugs. We suggest MHDO clarify that brand-name drugs are those drugs approved under FDA' s brand drug approval</w:t>
      </w:r>
      <w:r w:rsidR="00E97E97" w:rsidRPr="00CF634B">
        <w:rPr>
          <w:rFonts w:asciiTheme="minorHAnsi" w:hAnsiTheme="minorHAnsi" w:cs="Arial"/>
          <w:b w:val="0"/>
          <w:szCs w:val="24"/>
          <w:u w:val="none"/>
        </w:rPr>
        <w:t xml:space="preserve"> pathways (New Drug Application or Biologics License Application) and that generic drugs are those drugs approved by FDA under an Abbreviated New Drug Application.</w:t>
      </w:r>
    </w:p>
    <w:p w14:paraId="1591629D" w14:textId="516A68B2" w:rsidR="00152E57" w:rsidRPr="00CF634B" w:rsidRDefault="00152E57" w:rsidP="00152E57">
      <w:pPr>
        <w:rPr>
          <w:rFonts w:asciiTheme="minorHAnsi" w:hAnsiTheme="minorHAnsi"/>
          <w:sz w:val="24"/>
          <w:szCs w:val="24"/>
        </w:rPr>
      </w:pPr>
    </w:p>
    <w:p w14:paraId="127E5D7A" w14:textId="0B30C430" w:rsidR="00152E57" w:rsidRPr="00CF634B" w:rsidRDefault="00152E57" w:rsidP="00152E57">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00E97A04">
        <w:rPr>
          <w:rFonts w:asciiTheme="minorHAnsi" w:hAnsiTheme="minorHAnsi" w:cstheme="minorHAnsi"/>
          <w:sz w:val="24"/>
          <w:szCs w:val="24"/>
        </w:rPr>
        <w:t>A</w:t>
      </w:r>
      <w:r w:rsidRPr="00CF634B">
        <w:rPr>
          <w:rFonts w:asciiTheme="minorHAnsi" w:hAnsiTheme="minorHAnsi" w:cstheme="minorHAnsi"/>
          <w:sz w:val="24"/>
          <w:szCs w:val="24"/>
        </w:rPr>
        <w:t xml:space="preserve">mend the definition of Brand-name drug in order to limit the scope of drug products to those receiving approval under an original New Drug Application or Biologics License Application.  </w:t>
      </w:r>
      <w:r w:rsidR="00E97A04">
        <w:rPr>
          <w:rFonts w:asciiTheme="minorHAnsi" w:hAnsiTheme="minorHAnsi" w:cstheme="minorHAnsi"/>
          <w:sz w:val="24"/>
          <w:szCs w:val="24"/>
        </w:rPr>
        <w:t>Also</w:t>
      </w:r>
      <w:r w:rsidRPr="00CF634B">
        <w:rPr>
          <w:rFonts w:asciiTheme="minorHAnsi" w:hAnsiTheme="minorHAnsi" w:cstheme="minorHAnsi"/>
          <w:sz w:val="24"/>
          <w:szCs w:val="24"/>
        </w:rPr>
        <w:t xml:space="preserve"> amend the definition of Generic Drug </w:t>
      </w:r>
      <w:r w:rsidR="00CD196E" w:rsidRPr="00CF634B">
        <w:rPr>
          <w:rFonts w:asciiTheme="minorHAnsi" w:hAnsiTheme="minorHAnsi" w:cstheme="minorHAnsi"/>
          <w:sz w:val="24"/>
          <w:szCs w:val="24"/>
        </w:rPr>
        <w:t>to</w:t>
      </w:r>
      <w:r w:rsidRPr="00CF634B">
        <w:rPr>
          <w:rFonts w:asciiTheme="minorHAnsi" w:hAnsiTheme="minorHAnsi" w:cstheme="minorHAnsi"/>
          <w:sz w:val="24"/>
          <w:szCs w:val="24"/>
        </w:rPr>
        <w:t xml:space="preserve"> limit the scope of drug products to those receiving approval under an Abbreviated New Drug Application.</w:t>
      </w:r>
    </w:p>
    <w:p w14:paraId="14D4CA0B" w14:textId="77777777" w:rsidR="00152E57" w:rsidRPr="00CF634B" w:rsidRDefault="00152E57" w:rsidP="00152E57">
      <w:pPr>
        <w:rPr>
          <w:rFonts w:asciiTheme="minorHAnsi" w:hAnsiTheme="minorHAnsi" w:cstheme="minorHAnsi"/>
          <w:sz w:val="24"/>
          <w:szCs w:val="24"/>
        </w:rPr>
      </w:pPr>
    </w:p>
    <w:p w14:paraId="4257CEBB" w14:textId="020AA94B" w:rsidR="00152E57" w:rsidRPr="00CF634B" w:rsidRDefault="00023874" w:rsidP="00152E57">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152E57" w:rsidRPr="00CF634B">
        <w:rPr>
          <w:rFonts w:asciiTheme="minorHAnsi" w:hAnsiTheme="minorHAnsi" w:cstheme="minorHAnsi"/>
          <w:sz w:val="24"/>
          <w:szCs w:val="24"/>
        </w:rPr>
        <w:t xml:space="preserve">Amend Section 1 Definitions of “Brand-name Drug” and “Generic Drug” as follows: </w:t>
      </w:r>
    </w:p>
    <w:p w14:paraId="3DA2A165" w14:textId="77777777" w:rsidR="00152E57" w:rsidRPr="00CF634B" w:rsidRDefault="00152E57" w:rsidP="00152E57">
      <w:pPr>
        <w:rPr>
          <w:rFonts w:asciiTheme="minorHAnsi" w:hAnsiTheme="minorHAnsi" w:cstheme="minorHAnsi"/>
          <w:sz w:val="24"/>
          <w:szCs w:val="24"/>
        </w:rPr>
      </w:pPr>
    </w:p>
    <w:p w14:paraId="231661C8" w14:textId="77777777" w:rsidR="00152E57" w:rsidRPr="00CF634B" w:rsidRDefault="00152E57" w:rsidP="00152E57">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CF634B">
        <w:rPr>
          <w:rFonts w:asciiTheme="minorHAnsi" w:hAnsiTheme="minorHAnsi" w:cstheme="minorHAnsi"/>
          <w:b/>
          <w:sz w:val="24"/>
          <w:szCs w:val="24"/>
        </w:rPr>
        <w:t>Brand-name Drug.</w:t>
      </w:r>
      <w:r w:rsidRPr="00CF634B">
        <w:rPr>
          <w:rFonts w:asciiTheme="minorHAnsi" w:hAnsiTheme="minorHAnsi" w:cstheme="minorHAnsi"/>
          <w:sz w:val="24"/>
          <w:szCs w:val="24"/>
        </w:rPr>
        <w:t xml:space="preserve">  “Brand-name drug” means a prescription drug, having a unique NDC, marketed under a proprietary name or registered trademark name, including a biological product</w:t>
      </w:r>
      <w:r w:rsidRPr="00CF634B">
        <w:rPr>
          <w:rFonts w:asciiTheme="minorHAnsi" w:hAnsiTheme="minorHAnsi" w:cstheme="minorHAnsi"/>
          <w:sz w:val="24"/>
          <w:szCs w:val="24"/>
          <w:u w:val="single"/>
        </w:rPr>
        <w:t>, and approved under a New Drug Application or Biologics License Application</w:t>
      </w:r>
      <w:r w:rsidRPr="00CF634B">
        <w:rPr>
          <w:rFonts w:asciiTheme="minorHAnsi" w:hAnsiTheme="minorHAnsi" w:cstheme="minorHAnsi"/>
          <w:sz w:val="24"/>
          <w:szCs w:val="24"/>
        </w:rPr>
        <w:t>.</w:t>
      </w:r>
    </w:p>
    <w:p w14:paraId="2CB1F113" w14:textId="77777777" w:rsidR="00152E57" w:rsidRPr="00CF634B" w:rsidRDefault="00152E57" w:rsidP="00152E57">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CF634B">
        <w:rPr>
          <w:rFonts w:asciiTheme="minorHAnsi" w:hAnsiTheme="minorHAnsi" w:cstheme="minorHAnsi"/>
          <w:b/>
          <w:sz w:val="24"/>
          <w:szCs w:val="24"/>
        </w:rPr>
        <w:t>Generic Drug.</w:t>
      </w:r>
      <w:r w:rsidRPr="00CF634B">
        <w:rPr>
          <w:rFonts w:asciiTheme="minorHAnsi" w:hAnsiTheme="minorHAnsi" w:cstheme="minorHAnsi"/>
          <w:sz w:val="24"/>
          <w:szCs w:val="24"/>
        </w:rPr>
        <w:t xml:space="preserve">  “Generic drug” means a prescription drug, having a unique NDC, whether identified by its chemical, proprietary or nonproprietary name, that is not a brand-name drug, </w:t>
      </w:r>
      <w:r w:rsidRPr="00CF634B">
        <w:rPr>
          <w:rFonts w:asciiTheme="minorHAnsi" w:hAnsiTheme="minorHAnsi" w:cstheme="minorHAnsi"/>
          <w:strike/>
          <w:sz w:val="24"/>
          <w:szCs w:val="24"/>
        </w:rPr>
        <w:t>and</w:t>
      </w:r>
      <w:r w:rsidRPr="00CF634B">
        <w:rPr>
          <w:rFonts w:asciiTheme="minorHAnsi" w:hAnsiTheme="minorHAnsi" w:cstheme="minorHAnsi"/>
          <w:sz w:val="24"/>
          <w:szCs w:val="24"/>
        </w:rPr>
        <w:t xml:space="preserve"> is therapeutically equivalent to a brand-name drug in dosage, strength, method of consumption, performance and intended use</w:t>
      </w:r>
      <w:r w:rsidRPr="00CF634B">
        <w:rPr>
          <w:rFonts w:asciiTheme="minorHAnsi" w:hAnsiTheme="minorHAnsi" w:cstheme="minorHAnsi"/>
          <w:sz w:val="24"/>
          <w:szCs w:val="24"/>
          <w:u w:val="single"/>
        </w:rPr>
        <w:t>, and approved under an Abbreviated New Drug Application</w:t>
      </w:r>
      <w:r w:rsidRPr="00CF634B">
        <w:rPr>
          <w:rFonts w:asciiTheme="minorHAnsi" w:hAnsiTheme="minorHAnsi" w:cstheme="minorHAnsi"/>
          <w:sz w:val="24"/>
          <w:szCs w:val="24"/>
        </w:rPr>
        <w:t>. "Generic drug" includes a biosimilar product.</w:t>
      </w:r>
    </w:p>
    <w:p w14:paraId="5312F219" w14:textId="3FED80F0" w:rsidR="002F1B07" w:rsidRPr="00CF634B" w:rsidRDefault="002F1B07" w:rsidP="002F1B07">
      <w:pPr>
        <w:rPr>
          <w:rFonts w:asciiTheme="minorHAnsi" w:hAnsiTheme="minorHAnsi"/>
          <w:sz w:val="24"/>
          <w:szCs w:val="24"/>
        </w:rPr>
      </w:pPr>
    </w:p>
    <w:p w14:paraId="4CD601E5" w14:textId="7EA5200D"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sz w:val="24"/>
          <w:szCs w:val="24"/>
        </w:rPr>
        <w:t>Comment-Section 1 – Definitions – “</w:t>
      </w:r>
      <w:r w:rsidRPr="00CF634B">
        <w:rPr>
          <w:rFonts w:asciiTheme="minorHAnsi" w:hAnsiTheme="minorHAnsi" w:cstheme="minorHAnsi"/>
          <w:b/>
          <w:iCs/>
          <w:sz w:val="24"/>
          <w:szCs w:val="24"/>
        </w:rPr>
        <w:t>Manufacturer”</w:t>
      </w:r>
      <w:r w:rsidRPr="00CF634B">
        <w:rPr>
          <w:rFonts w:asciiTheme="minorHAnsi" w:hAnsiTheme="minorHAnsi" w:cstheme="minorHAnsi"/>
          <w:iCs/>
          <w:sz w:val="24"/>
          <w:szCs w:val="24"/>
        </w:rPr>
        <w:t xml:space="preserve"> </w:t>
      </w:r>
    </w:p>
    <w:p w14:paraId="601F098D" w14:textId="30FF4A66" w:rsidR="00E97E97" w:rsidRPr="00CF634B" w:rsidRDefault="00E97E97" w:rsidP="00152E57">
      <w:pPr>
        <w:rPr>
          <w:rFonts w:asciiTheme="minorHAnsi" w:hAnsiTheme="minorHAnsi" w:cstheme="minorHAnsi"/>
          <w:iCs/>
          <w:sz w:val="24"/>
          <w:szCs w:val="24"/>
        </w:rPr>
      </w:pPr>
      <w:r w:rsidRPr="00CF634B">
        <w:rPr>
          <w:rFonts w:asciiTheme="minorHAnsi" w:hAnsiTheme="minorHAnsi" w:cs="Arial"/>
          <w:sz w:val="24"/>
          <w:szCs w:val="24"/>
        </w:rPr>
        <w:t>While the proposed definition of "Manufacturer" follows that included in L.D.1162, we suggest that MHDO clarify that the definition applies to manufacturers with responsibility for setting a drug's price. As you know, a contract manufacturer is not responsible for setting the</w:t>
      </w:r>
      <w:r w:rsidR="00927BA8" w:rsidRPr="00CF634B">
        <w:rPr>
          <w:rFonts w:asciiTheme="minorHAnsi" w:hAnsiTheme="minorHAnsi" w:cs="Arial"/>
          <w:sz w:val="24"/>
          <w:szCs w:val="24"/>
        </w:rPr>
        <w:t xml:space="preserve"> </w:t>
      </w:r>
      <w:r w:rsidRPr="00CF634B">
        <w:rPr>
          <w:rFonts w:asciiTheme="minorHAnsi" w:hAnsiTheme="minorHAnsi" w:cs="Arial"/>
          <w:sz w:val="24"/>
          <w:szCs w:val="24"/>
        </w:rPr>
        <w:t>price and would therefore be unable to comply with the requirements of this proposal. We suggest the following language:</w:t>
      </w:r>
    </w:p>
    <w:p w14:paraId="21BE556B"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1DDFB2A1" w14:textId="5574F82F" w:rsidR="00E97E97" w:rsidRPr="00CF634B" w:rsidRDefault="00E97E97" w:rsidP="00927BA8">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"Manufacturer" means the entity that sets or changes the wholesale acquisition cost of prescription drugs that are distributed in the states.</w:t>
      </w:r>
    </w:p>
    <w:p w14:paraId="03621618" w14:textId="7990A686" w:rsidR="00152E57" w:rsidRPr="00CF634B" w:rsidRDefault="00152E57" w:rsidP="00152E57">
      <w:pPr>
        <w:rPr>
          <w:rFonts w:asciiTheme="minorHAnsi" w:hAnsiTheme="minorHAnsi"/>
          <w:sz w:val="24"/>
          <w:szCs w:val="24"/>
        </w:rPr>
      </w:pPr>
    </w:p>
    <w:p w14:paraId="7F2E072F" w14:textId="273F095B" w:rsidR="00152E57" w:rsidRPr="00CF634B" w:rsidRDefault="00152E57" w:rsidP="00152E57">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00E97A04">
        <w:rPr>
          <w:rFonts w:asciiTheme="minorHAnsi" w:hAnsiTheme="minorHAnsi" w:cstheme="minorHAnsi"/>
          <w:sz w:val="24"/>
          <w:szCs w:val="24"/>
        </w:rPr>
        <w:t>Amend</w:t>
      </w:r>
      <w:r w:rsidRPr="00CF634B">
        <w:rPr>
          <w:rFonts w:asciiTheme="minorHAnsi" w:hAnsiTheme="minorHAnsi" w:cstheme="minorHAnsi"/>
          <w:sz w:val="24"/>
          <w:szCs w:val="24"/>
        </w:rPr>
        <w:t xml:space="preserve"> the definition of Manufacturer to exclude entities that do not set the wholesale acquisition cost of the drugs they manufacture.</w:t>
      </w:r>
    </w:p>
    <w:p w14:paraId="23D6A1F8" w14:textId="77777777" w:rsidR="00152E57" w:rsidRPr="00CF634B" w:rsidRDefault="00152E57" w:rsidP="00152E57">
      <w:pPr>
        <w:rPr>
          <w:rFonts w:asciiTheme="minorHAnsi" w:hAnsiTheme="minorHAnsi" w:cstheme="minorHAnsi"/>
          <w:sz w:val="24"/>
          <w:szCs w:val="24"/>
        </w:rPr>
      </w:pPr>
    </w:p>
    <w:p w14:paraId="7C105F5D" w14:textId="216FD8B9" w:rsidR="00152E57" w:rsidRPr="00CF634B" w:rsidRDefault="00023874" w:rsidP="00152E57">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00152E57" w:rsidRPr="00CF634B">
        <w:rPr>
          <w:rFonts w:asciiTheme="minorHAnsi" w:hAnsiTheme="minorHAnsi" w:cstheme="minorHAnsi"/>
          <w:b/>
          <w:sz w:val="24"/>
          <w:szCs w:val="24"/>
        </w:rPr>
        <w:t xml:space="preserve">  </w:t>
      </w:r>
      <w:r w:rsidR="00152E57" w:rsidRPr="00CF634B">
        <w:rPr>
          <w:rFonts w:asciiTheme="minorHAnsi" w:hAnsiTheme="minorHAnsi" w:cstheme="minorHAnsi"/>
          <w:sz w:val="24"/>
          <w:szCs w:val="24"/>
        </w:rPr>
        <w:t xml:space="preserve">Amend Section 1 Definition of a Manufacturer as follows: </w:t>
      </w:r>
    </w:p>
    <w:p w14:paraId="1B275C70" w14:textId="77777777" w:rsidR="00152E57" w:rsidRPr="00CF634B" w:rsidRDefault="00152E57" w:rsidP="00152E57">
      <w:pPr>
        <w:rPr>
          <w:rFonts w:asciiTheme="minorHAnsi" w:hAnsiTheme="minorHAnsi" w:cstheme="minorHAnsi"/>
          <w:sz w:val="24"/>
          <w:szCs w:val="24"/>
        </w:rPr>
      </w:pPr>
    </w:p>
    <w:p w14:paraId="5011ECA9" w14:textId="77777777" w:rsidR="00152E57" w:rsidRPr="00CF634B" w:rsidRDefault="00152E57" w:rsidP="00152E57">
      <w:pPr>
        <w:ind w:left="720"/>
        <w:rPr>
          <w:rFonts w:asciiTheme="minorHAnsi" w:hAnsiTheme="minorHAnsi" w:cstheme="minorHAnsi"/>
          <w:iCs/>
          <w:sz w:val="24"/>
          <w:szCs w:val="24"/>
        </w:rPr>
      </w:pPr>
      <w:r w:rsidRPr="00CF634B">
        <w:rPr>
          <w:rFonts w:asciiTheme="minorHAnsi" w:hAnsiTheme="minorHAnsi" w:cstheme="minorHAnsi"/>
          <w:b/>
          <w:sz w:val="24"/>
          <w:szCs w:val="24"/>
        </w:rPr>
        <w:t>Manufacturer.</w:t>
      </w:r>
      <w:r w:rsidRPr="00CF634B">
        <w:rPr>
          <w:rFonts w:asciiTheme="minorHAnsi" w:hAnsiTheme="minorHAnsi" w:cstheme="minorHAnsi"/>
          <w:sz w:val="24"/>
          <w:szCs w:val="24"/>
        </w:rPr>
        <w:t xml:space="preserve">  “Manufacturer” means </w:t>
      </w:r>
      <w:r w:rsidRPr="00CF634B">
        <w:rPr>
          <w:rFonts w:asciiTheme="minorHAnsi" w:hAnsiTheme="minorHAnsi" w:cstheme="minorHAnsi"/>
          <w:strike/>
          <w:sz w:val="24"/>
          <w:szCs w:val="24"/>
        </w:rPr>
        <w:t>a manufacturer of</w:t>
      </w:r>
      <w:r w:rsidRPr="00CF634B">
        <w:rPr>
          <w:rFonts w:asciiTheme="minorHAnsi" w:hAnsiTheme="minorHAnsi" w:cstheme="minorHAnsi"/>
          <w:sz w:val="24"/>
          <w:szCs w:val="24"/>
        </w:rPr>
        <w:t xml:space="preserve"> </w:t>
      </w:r>
      <w:r w:rsidRPr="00CF634B">
        <w:rPr>
          <w:rFonts w:asciiTheme="minorHAnsi" w:hAnsiTheme="minorHAnsi" w:cstheme="minorHAnsi"/>
          <w:sz w:val="24"/>
          <w:szCs w:val="24"/>
          <w:u w:val="single"/>
        </w:rPr>
        <w:t>an entity that manufactures, and sets the wholesale acquisition cost for,</w:t>
      </w:r>
      <w:r w:rsidRPr="00CF634B">
        <w:rPr>
          <w:rFonts w:asciiTheme="minorHAnsi" w:hAnsiTheme="minorHAnsi" w:cstheme="minorHAnsi"/>
          <w:sz w:val="24"/>
          <w:szCs w:val="24"/>
        </w:rPr>
        <w:t xml:space="preserve"> prescription drugs that are distributed in the State.</w:t>
      </w:r>
    </w:p>
    <w:p w14:paraId="17D5BCFD" w14:textId="77777777" w:rsidR="00152E57" w:rsidRPr="00CF634B" w:rsidRDefault="00152E57" w:rsidP="00152E57">
      <w:pPr>
        <w:rPr>
          <w:rFonts w:asciiTheme="minorHAnsi" w:hAnsiTheme="minorHAnsi" w:cstheme="minorHAnsi"/>
          <w:b/>
          <w:sz w:val="24"/>
          <w:szCs w:val="24"/>
        </w:rPr>
      </w:pPr>
    </w:p>
    <w:p w14:paraId="5E74AA37" w14:textId="39DE14EE"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sz w:val="24"/>
          <w:szCs w:val="24"/>
        </w:rPr>
        <w:t>Comment-Section 1 – Definitions – “</w:t>
      </w:r>
      <w:r w:rsidRPr="00CF634B">
        <w:rPr>
          <w:rFonts w:asciiTheme="minorHAnsi" w:hAnsiTheme="minorHAnsi" w:cstheme="minorHAnsi"/>
          <w:b/>
          <w:iCs/>
          <w:sz w:val="24"/>
          <w:szCs w:val="24"/>
        </w:rPr>
        <w:t>New Prescription Drug”</w:t>
      </w:r>
      <w:r w:rsidRPr="00CF634B">
        <w:rPr>
          <w:rFonts w:asciiTheme="minorHAnsi" w:hAnsiTheme="minorHAnsi" w:cstheme="minorHAnsi"/>
          <w:iCs/>
          <w:sz w:val="24"/>
          <w:szCs w:val="24"/>
        </w:rPr>
        <w:t xml:space="preserve"> </w:t>
      </w:r>
    </w:p>
    <w:p w14:paraId="5A1645B3" w14:textId="48413691"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New Prescription Drug.</w:t>
      </w:r>
      <w:r w:rsidRPr="00CF634B">
        <w:rPr>
          <w:rFonts w:asciiTheme="minorHAnsi" w:hAnsiTheme="minorHAnsi" w:cs="Arial"/>
          <w:b w:val="0"/>
          <w:szCs w:val="24"/>
          <w:u w:val="none"/>
        </w:rPr>
        <w:t xml:space="preserve"> The statute does not define new drug. The intent of the statute appears to be mandating reporting for novel therapies that have </w:t>
      </w:r>
      <w:proofErr w:type="gramStart"/>
      <w:r w:rsidRPr="00CF634B">
        <w:rPr>
          <w:rFonts w:asciiTheme="minorHAnsi" w:hAnsiTheme="minorHAnsi" w:cs="Arial"/>
          <w:b w:val="0"/>
          <w:szCs w:val="24"/>
          <w:u w:val="none"/>
        </w:rPr>
        <w:t>never before</w:t>
      </w:r>
      <w:proofErr w:type="gramEnd"/>
      <w:r w:rsidRPr="00CF634B">
        <w:rPr>
          <w:rFonts w:asciiTheme="minorHAnsi" w:hAnsiTheme="minorHAnsi" w:cs="Arial"/>
          <w:b w:val="0"/>
          <w:szCs w:val="24"/>
          <w:u w:val="none"/>
        </w:rPr>
        <w:t xml:space="preserve"> been available to patients. Therefore, we propose defining "new prescription drug" with reference to the Food and Drug Administration's list of New Molecular Entities and New Therapeutic Biological Products as follows:</w:t>
      </w:r>
    </w:p>
    <w:p w14:paraId="237CCFED"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06418028" w14:textId="699F5925" w:rsidR="00E97E97" w:rsidRPr="00CF634B" w:rsidRDefault="00E97E97" w:rsidP="00927BA8">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"New Prescription Drug" means a drug or biological that appears on the Food and Drug Administration's Center</w:t>
      </w:r>
      <w:r w:rsidR="00927BA8" w:rsidRPr="00CF634B">
        <w:rPr>
          <w:rFonts w:asciiTheme="minorHAnsi" w:hAnsiTheme="minorHAnsi" w:cs="Arial"/>
          <w:b w:val="0"/>
          <w:szCs w:val="24"/>
          <w:u w:val="none"/>
        </w:rPr>
        <w:t xml:space="preserve"> </w:t>
      </w:r>
      <w:r w:rsidRPr="00CF634B">
        <w:rPr>
          <w:rFonts w:asciiTheme="minorHAnsi" w:hAnsiTheme="minorHAnsi" w:cs="Arial"/>
          <w:b w:val="0"/>
          <w:szCs w:val="24"/>
          <w:u w:val="none"/>
        </w:rPr>
        <w:t>for Drug Evaluation and Research list of New Molecular Entities and New Therapeutic Biological Products.</w:t>
      </w:r>
    </w:p>
    <w:p w14:paraId="51A80B24" w14:textId="77777777" w:rsidR="00152E57" w:rsidRPr="00CF634B" w:rsidRDefault="00152E57" w:rsidP="00152E57">
      <w:pPr>
        <w:rPr>
          <w:rFonts w:asciiTheme="minorHAnsi" w:hAnsiTheme="minorHAnsi" w:cstheme="minorHAnsi"/>
          <w:b/>
          <w:iCs/>
          <w:sz w:val="24"/>
          <w:szCs w:val="24"/>
        </w:rPr>
      </w:pPr>
    </w:p>
    <w:p w14:paraId="2F3F3BF5" w14:textId="36ABDFE3"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000A117D">
        <w:rPr>
          <w:rFonts w:asciiTheme="minorHAnsi" w:hAnsiTheme="minorHAnsi" w:cstheme="minorHAnsi"/>
          <w:iCs/>
          <w:sz w:val="24"/>
          <w:szCs w:val="24"/>
        </w:rPr>
        <w:t xml:space="preserve">: </w:t>
      </w:r>
      <w:r w:rsidR="00727E23">
        <w:rPr>
          <w:rFonts w:asciiTheme="minorHAnsi" w:hAnsiTheme="minorHAnsi" w:cstheme="minorHAnsi"/>
          <w:iCs/>
          <w:sz w:val="24"/>
          <w:szCs w:val="24"/>
        </w:rPr>
        <w:t>To streamline and use consistent definitions across states with similar pharmacy reporting requirements, the definition of New Prescription Drug that is defined in the proposed rule is the same definition adopted by the State of California.</w:t>
      </w:r>
    </w:p>
    <w:p w14:paraId="4808DEFE" w14:textId="7DA0B340" w:rsidR="00023874" w:rsidRPr="00CF634B" w:rsidRDefault="00023874" w:rsidP="00152E57">
      <w:pPr>
        <w:rPr>
          <w:rFonts w:asciiTheme="minorHAnsi" w:hAnsiTheme="minorHAnsi" w:cstheme="minorHAnsi"/>
          <w:iCs/>
          <w:sz w:val="24"/>
          <w:szCs w:val="24"/>
        </w:rPr>
      </w:pPr>
    </w:p>
    <w:p w14:paraId="19099FE2" w14:textId="1FC520F9" w:rsidR="00023874" w:rsidRPr="00CF634B" w:rsidRDefault="00023874" w:rsidP="00152E57">
      <w:pPr>
        <w:rPr>
          <w:rFonts w:asciiTheme="minorHAnsi" w:hAnsiTheme="minorHAnsi" w:cstheme="minorHAnsi"/>
          <w:iCs/>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727E23">
        <w:rPr>
          <w:rFonts w:asciiTheme="minorHAnsi" w:hAnsiTheme="minorHAnsi"/>
          <w:sz w:val="24"/>
          <w:szCs w:val="24"/>
        </w:rPr>
        <w:t>No further action required.</w:t>
      </w:r>
    </w:p>
    <w:p w14:paraId="5EC5AA6B" w14:textId="77777777" w:rsidR="00A04D09" w:rsidRDefault="00A04D09" w:rsidP="00152E57">
      <w:pPr>
        <w:rPr>
          <w:rFonts w:asciiTheme="minorHAnsi" w:hAnsiTheme="minorHAnsi" w:cstheme="minorHAnsi"/>
          <w:b/>
          <w:sz w:val="24"/>
          <w:szCs w:val="24"/>
        </w:rPr>
      </w:pPr>
    </w:p>
    <w:p w14:paraId="3EB090B7" w14:textId="3351A8CE" w:rsidR="00152E57" w:rsidRPr="00CF634B" w:rsidRDefault="00A935D3" w:rsidP="00152E57">
      <w:pPr>
        <w:rPr>
          <w:rFonts w:asciiTheme="minorHAnsi" w:hAnsiTheme="minorHAnsi" w:cstheme="minorHAnsi"/>
          <w:iCs/>
          <w:sz w:val="24"/>
          <w:szCs w:val="24"/>
        </w:rPr>
      </w:pPr>
      <w:r w:rsidRPr="00CF634B">
        <w:rPr>
          <w:rFonts w:asciiTheme="minorHAnsi" w:hAnsiTheme="minorHAnsi" w:cstheme="minorHAnsi"/>
          <w:b/>
          <w:sz w:val="24"/>
          <w:szCs w:val="24"/>
        </w:rPr>
        <w:t>Comment</w:t>
      </w:r>
      <w:r w:rsidR="00152E57" w:rsidRPr="00CF634B">
        <w:rPr>
          <w:rFonts w:asciiTheme="minorHAnsi" w:hAnsiTheme="minorHAnsi" w:cstheme="minorHAnsi"/>
          <w:b/>
          <w:sz w:val="24"/>
          <w:szCs w:val="24"/>
        </w:rPr>
        <w:t>-Section 1 – Definitions – “</w:t>
      </w:r>
      <w:r w:rsidR="00152E57" w:rsidRPr="00CF634B">
        <w:rPr>
          <w:rFonts w:asciiTheme="minorHAnsi" w:hAnsiTheme="minorHAnsi" w:cstheme="minorHAnsi"/>
          <w:b/>
          <w:iCs/>
          <w:sz w:val="24"/>
          <w:szCs w:val="24"/>
        </w:rPr>
        <w:t>Pricing Unit”</w:t>
      </w:r>
      <w:r w:rsidR="00152E57" w:rsidRPr="00CF634B">
        <w:rPr>
          <w:rFonts w:asciiTheme="minorHAnsi" w:hAnsiTheme="minorHAnsi" w:cstheme="minorHAnsi"/>
          <w:iCs/>
          <w:sz w:val="24"/>
          <w:szCs w:val="24"/>
        </w:rPr>
        <w:t xml:space="preserve"> </w:t>
      </w:r>
    </w:p>
    <w:p w14:paraId="7CC3E1CD" w14:textId="201B6FB6"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Pricing unit.</w:t>
      </w:r>
      <w:r w:rsidRPr="00CF634B">
        <w:rPr>
          <w:rFonts w:asciiTheme="minorHAnsi" w:hAnsiTheme="minorHAnsi" w:cs="Arial"/>
          <w:b w:val="0"/>
          <w:szCs w:val="24"/>
          <w:u w:val="none"/>
        </w:rPr>
        <w:t xml:space="preserve"> The proposed rule defines "pricing unit" consistent with the statute. As you know, L.D.1162 defines "pricing unit" in the same manner as the federal Medicaid Drug Rebate Program. To avoid confusion, we suggest the following language to clarify that the terms are identical.</w:t>
      </w:r>
    </w:p>
    <w:p w14:paraId="01BA62DF"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666FBFFA" w14:textId="77777777" w:rsidR="00E97E97" w:rsidRPr="00CF634B" w:rsidRDefault="00E97E97" w:rsidP="00E97E97">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"Pricing Unit" means the smallest dispensable amount of prescription drug product that could be dispensed, consistent with how the manufacturer reports under the Medicaid Drug Rebate Program.</w:t>
      </w:r>
    </w:p>
    <w:p w14:paraId="190EB882" w14:textId="77777777" w:rsidR="00152E57" w:rsidRPr="00CF634B" w:rsidRDefault="00152E57" w:rsidP="00152E57">
      <w:pPr>
        <w:rPr>
          <w:rFonts w:asciiTheme="minorHAnsi" w:hAnsiTheme="minorHAnsi" w:cstheme="minorHAnsi"/>
          <w:b/>
          <w:iCs/>
          <w:sz w:val="24"/>
          <w:szCs w:val="24"/>
        </w:rPr>
      </w:pPr>
    </w:p>
    <w:p w14:paraId="5BF63AE2" w14:textId="5DFE204E"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Pr="00CF634B">
        <w:rPr>
          <w:rFonts w:asciiTheme="minorHAnsi" w:hAnsiTheme="minorHAnsi" w:cstheme="minorHAnsi"/>
          <w:iCs/>
          <w:sz w:val="24"/>
          <w:szCs w:val="24"/>
        </w:rPr>
        <w:t xml:space="preserve"> –</w:t>
      </w:r>
      <w:r w:rsidR="00F939AC" w:rsidRPr="00CF634B">
        <w:rPr>
          <w:rFonts w:asciiTheme="minorHAnsi" w:hAnsiTheme="minorHAnsi" w:cstheme="minorHAnsi"/>
          <w:iCs/>
          <w:sz w:val="24"/>
          <w:szCs w:val="24"/>
        </w:rPr>
        <w:t>Section 1.</w:t>
      </w:r>
      <w:r w:rsidR="000A117D">
        <w:rPr>
          <w:rFonts w:asciiTheme="minorHAnsi" w:hAnsiTheme="minorHAnsi" w:cstheme="minorHAnsi"/>
          <w:iCs/>
          <w:sz w:val="24"/>
          <w:szCs w:val="24"/>
        </w:rPr>
        <w:t>N</w:t>
      </w:r>
      <w:r w:rsidR="00F939AC" w:rsidRPr="00CF634B">
        <w:rPr>
          <w:rFonts w:asciiTheme="minorHAnsi" w:hAnsiTheme="minorHAnsi" w:cstheme="minorHAnsi"/>
          <w:iCs/>
          <w:sz w:val="24"/>
          <w:szCs w:val="24"/>
        </w:rPr>
        <w:t xml:space="preserve">. defines </w:t>
      </w:r>
      <w:r w:rsidR="00F939AC" w:rsidRPr="00CF634B">
        <w:rPr>
          <w:rFonts w:asciiTheme="minorHAnsi" w:hAnsiTheme="minorHAnsi" w:cstheme="minorHAnsi"/>
          <w:i/>
          <w:iCs/>
          <w:sz w:val="24"/>
          <w:szCs w:val="24"/>
        </w:rPr>
        <w:t>Pricing unit</w:t>
      </w:r>
      <w:r w:rsidR="00F939AC" w:rsidRPr="00CF634B">
        <w:rPr>
          <w:rFonts w:asciiTheme="minorHAnsi" w:hAnsiTheme="minorHAnsi" w:cstheme="minorHAnsi"/>
          <w:iCs/>
          <w:sz w:val="24"/>
          <w:szCs w:val="24"/>
        </w:rPr>
        <w:t xml:space="preserve"> exactly how it is defined in Section 8731 of the governing statute.</w:t>
      </w:r>
    </w:p>
    <w:p w14:paraId="1C6A740F" w14:textId="069FB71C" w:rsidR="00023874" w:rsidRPr="00CF634B" w:rsidRDefault="00023874" w:rsidP="00152E57">
      <w:pPr>
        <w:rPr>
          <w:rFonts w:asciiTheme="minorHAnsi" w:hAnsiTheme="minorHAnsi" w:cstheme="minorHAnsi"/>
          <w:iCs/>
          <w:sz w:val="24"/>
          <w:szCs w:val="24"/>
        </w:rPr>
      </w:pPr>
    </w:p>
    <w:p w14:paraId="38406478" w14:textId="260B4109" w:rsidR="00023874" w:rsidRPr="00CF634B" w:rsidRDefault="00023874" w:rsidP="00152E57">
      <w:pPr>
        <w:rPr>
          <w:rFonts w:asciiTheme="minorHAnsi" w:hAnsiTheme="minorHAnsi" w:cstheme="minorHAnsi"/>
          <w:iCs/>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F939AC" w:rsidRPr="00CF634B">
        <w:rPr>
          <w:rFonts w:asciiTheme="minorHAnsi" w:hAnsiTheme="minorHAnsi"/>
          <w:sz w:val="24"/>
          <w:szCs w:val="24"/>
        </w:rPr>
        <w:t>No further action required.</w:t>
      </w:r>
    </w:p>
    <w:p w14:paraId="03A5E6A3" w14:textId="77777777" w:rsidR="00F024F6" w:rsidRDefault="00F024F6" w:rsidP="00152E57">
      <w:pPr>
        <w:rPr>
          <w:rFonts w:asciiTheme="minorHAnsi" w:hAnsiTheme="minorHAnsi" w:cstheme="minorHAnsi"/>
          <w:b/>
          <w:sz w:val="24"/>
          <w:szCs w:val="24"/>
        </w:rPr>
      </w:pPr>
    </w:p>
    <w:p w14:paraId="20EC9E49" w14:textId="401513D0"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sz w:val="24"/>
          <w:szCs w:val="24"/>
        </w:rPr>
        <w:t>Comment-Section 1 – Definitions – “Wholesale acquisition cost</w:t>
      </w:r>
      <w:r w:rsidRPr="00CF634B">
        <w:rPr>
          <w:rFonts w:asciiTheme="minorHAnsi" w:hAnsiTheme="minorHAnsi" w:cstheme="minorHAnsi"/>
          <w:b/>
          <w:iCs/>
          <w:sz w:val="24"/>
          <w:szCs w:val="24"/>
        </w:rPr>
        <w:t>”</w:t>
      </w:r>
      <w:r w:rsidRPr="00CF634B">
        <w:rPr>
          <w:rFonts w:asciiTheme="minorHAnsi" w:hAnsiTheme="minorHAnsi" w:cstheme="minorHAnsi"/>
          <w:iCs/>
          <w:sz w:val="24"/>
          <w:szCs w:val="24"/>
        </w:rPr>
        <w:t xml:space="preserve"> </w:t>
      </w:r>
    </w:p>
    <w:p w14:paraId="68852416" w14:textId="4F03C3B9"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Wholesale acquisition cost (WAC)</w:t>
      </w:r>
      <w:r w:rsidRPr="00CF634B">
        <w:rPr>
          <w:rFonts w:asciiTheme="minorHAnsi" w:hAnsiTheme="minorHAnsi" w:cs="Arial"/>
          <w:b w:val="0"/>
          <w:szCs w:val="24"/>
          <w:u w:val="none"/>
        </w:rPr>
        <w:t>. The federal law definition of WAC serves as the basis for manufacturer compliance activities. To avoid confusion over potentially varying definitions, we suggest the following language:</w:t>
      </w:r>
    </w:p>
    <w:p w14:paraId="56C64A9D"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10295516" w14:textId="77777777" w:rsidR="00E97E97" w:rsidRPr="00CF634B" w:rsidRDefault="00E97E97" w:rsidP="00E97E97">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"Wholesale acquisition cost (WAC)" means a manufacturer's published list price for sale of a prescription drug product with a unique NDC to any wholesale drug distributor or other entity that purchases a prescription drug directly from the manufacturer, not including any price concessions, consistent with the meaning given in 42 U.S.C. 1395w-3a.</w:t>
      </w:r>
    </w:p>
    <w:p w14:paraId="58FF9954" w14:textId="77777777" w:rsidR="00152E57" w:rsidRPr="00CF634B" w:rsidRDefault="00152E57" w:rsidP="00152E57">
      <w:pPr>
        <w:rPr>
          <w:rFonts w:asciiTheme="minorHAnsi" w:hAnsiTheme="minorHAnsi" w:cstheme="minorHAnsi"/>
          <w:b/>
          <w:iCs/>
          <w:sz w:val="24"/>
          <w:szCs w:val="24"/>
        </w:rPr>
      </w:pPr>
    </w:p>
    <w:p w14:paraId="75DF1155" w14:textId="231706CA" w:rsidR="00152E57" w:rsidRPr="00CF634B" w:rsidRDefault="00152E57" w:rsidP="00152E57">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000A117D">
        <w:rPr>
          <w:rFonts w:asciiTheme="minorHAnsi" w:hAnsiTheme="minorHAnsi" w:cstheme="minorHAnsi"/>
          <w:iCs/>
          <w:sz w:val="24"/>
          <w:szCs w:val="24"/>
        </w:rPr>
        <w:t xml:space="preserve">:  </w:t>
      </w:r>
      <w:r w:rsidR="00F939AC" w:rsidRPr="00CF634B">
        <w:rPr>
          <w:rFonts w:asciiTheme="minorHAnsi" w:hAnsiTheme="minorHAnsi" w:cstheme="minorHAnsi"/>
          <w:iCs/>
          <w:sz w:val="24"/>
          <w:szCs w:val="24"/>
        </w:rPr>
        <w:t>Section 1.T. defines Wholesale acquisition cost (WAC) exactly how it is defined in Section 8731 of the governing statute.</w:t>
      </w:r>
    </w:p>
    <w:p w14:paraId="24CB3EE7" w14:textId="5E097D1A" w:rsidR="00023874" w:rsidRPr="00CF634B" w:rsidRDefault="00023874" w:rsidP="00152E57">
      <w:pPr>
        <w:rPr>
          <w:rFonts w:asciiTheme="minorHAnsi" w:hAnsiTheme="minorHAnsi" w:cstheme="minorHAnsi"/>
          <w:iCs/>
          <w:sz w:val="24"/>
          <w:szCs w:val="24"/>
        </w:rPr>
      </w:pPr>
    </w:p>
    <w:p w14:paraId="2D1133AD" w14:textId="333C8FEA" w:rsidR="00023874" w:rsidRPr="00CF634B" w:rsidRDefault="00023874" w:rsidP="00152E57">
      <w:pPr>
        <w:rPr>
          <w:rFonts w:asciiTheme="minorHAnsi" w:hAnsiTheme="minorHAnsi" w:cstheme="minorHAnsi"/>
          <w:iCs/>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F939AC" w:rsidRPr="00CF634B">
        <w:rPr>
          <w:rFonts w:asciiTheme="minorHAnsi" w:hAnsiTheme="minorHAnsi"/>
          <w:sz w:val="24"/>
          <w:szCs w:val="24"/>
        </w:rPr>
        <w:t>No further action required.</w:t>
      </w:r>
    </w:p>
    <w:p w14:paraId="1CB1DDA0" w14:textId="0AD4C264" w:rsidR="00E97E97" w:rsidRDefault="00E97E97" w:rsidP="00E97E97">
      <w:pPr>
        <w:pStyle w:val="Heading1"/>
        <w:spacing w:before="53"/>
        <w:ind w:left="5" w:right="110" w:hanging="5"/>
        <w:jc w:val="both"/>
        <w:rPr>
          <w:rFonts w:asciiTheme="minorHAnsi" w:hAnsiTheme="minorHAnsi" w:cs="Arial"/>
          <w:b w:val="0"/>
          <w:szCs w:val="24"/>
          <w:u w:val="none"/>
        </w:rPr>
      </w:pPr>
    </w:p>
    <w:p w14:paraId="1F3220AA" w14:textId="77777777" w:rsidR="00EC6122" w:rsidRPr="00EC6122" w:rsidRDefault="00EC6122" w:rsidP="00EC6122"/>
    <w:p w14:paraId="28B7C267" w14:textId="5F25FCD4" w:rsidR="00152E57" w:rsidRPr="00CF634B" w:rsidRDefault="00B230EE" w:rsidP="00152E57">
      <w:pPr>
        <w:rPr>
          <w:rFonts w:asciiTheme="minorHAnsi" w:hAnsiTheme="minorHAnsi" w:cstheme="minorHAnsi"/>
          <w:iCs/>
          <w:sz w:val="24"/>
          <w:szCs w:val="24"/>
        </w:rPr>
      </w:pPr>
      <w:r w:rsidRPr="00CF634B">
        <w:rPr>
          <w:rFonts w:asciiTheme="minorHAnsi" w:hAnsiTheme="minorHAnsi" w:cstheme="minorHAnsi"/>
          <w:b/>
          <w:sz w:val="24"/>
          <w:szCs w:val="24"/>
        </w:rPr>
        <w:t>Comment-</w:t>
      </w:r>
      <w:r w:rsidR="00152E57" w:rsidRPr="00CF634B">
        <w:rPr>
          <w:rFonts w:asciiTheme="minorHAnsi" w:hAnsiTheme="minorHAnsi" w:cstheme="minorHAnsi"/>
          <w:b/>
          <w:sz w:val="24"/>
          <w:szCs w:val="24"/>
        </w:rPr>
        <w:t>Section 1 – Definitions – “Wholesale drug distributor”</w:t>
      </w:r>
    </w:p>
    <w:p w14:paraId="6B75EDD1" w14:textId="7DD9D470" w:rsidR="00E97E97" w:rsidRPr="00CF634B" w:rsidRDefault="00E97E97" w:rsidP="00E97E97">
      <w:pPr>
        <w:pStyle w:val="Heading1"/>
        <w:spacing w:before="53"/>
        <w:ind w:left="5" w:right="110" w:hanging="5"/>
        <w:jc w:val="both"/>
        <w:rPr>
          <w:rFonts w:asciiTheme="minorHAnsi" w:hAnsiTheme="minorHAnsi" w:cs="Arial"/>
          <w:b w:val="0"/>
          <w:szCs w:val="24"/>
          <w:u w:val="none"/>
        </w:rPr>
      </w:pPr>
      <w:r w:rsidRPr="00CF634B">
        <w:rPr>
          <w:rFonts w:asciiTheme="minorHAnsi" w:hAnsiTheme="minorHAnsi" w:cs="Arial"/>
          <w:b w:val="0"/>
          <w:i/>
          <w:szCs w:val="24"/>
          <w:u w:val="none"/>
        </w:rPr>
        <w:t>Wholesale drug distributor</w:t>
      </w:r>
      <w:r w:rsidRPr="00CF634B">
        <w:rPr>
          <w:rFonts w:asciiTheme="minorHAnsi" w:hAnsiTheme="minorHAnsi" w:cs="Arial"/>
          <w:b w:val="0"/>
          <w:szCs w:val="24"/>
          <w:u w:val="none"/>
        </w:rPr>
        <w:t>. Some manufacturers may also hold distributor licenses in the state to ship their own products. In order to avoid duplicative and confusing reporting requirements, we</w:t>
      </w:r>
      <w:r w:rsidRPr="00CF634B">
        <w:rPr>
          <w:rFonts w:asciiTheme="minorHAnsi" w:hAnsiTheme="minorHAnsi" w:cs="Arial"/>
          <w:b w:val="0"/>
          <w:noProof/>
          <w:szCs w:val="24"/>
          <w:u w:val="none"/>
        </w:rPr>
        <mc:AlternateContent>
          <mc:Choice Requires="wpg">
            <w:drawing>
              <wp:anchor distT="0" distB="0" distL="114300" distR="114300" simplePos="0" relativeHeight="251657728" behindDoc="0" locked="0" layoutInCell="1" allowOverlap="1" wp14:anchorId="70078493" wp14:editId="2E34578E">
                <wp:simplePos x="0" y="0"/>
                <wp:positionH relativeFrom="page">
                  <wp:posOffset>7665720</wp:posOffset>
                </wp:positionH>
                <wp:positionV relativeFrom="page">
                  <wp:posOffset>9253855</wp:posOffset>
                </wp:positionV>
                <wp:extent cx="1270" cy="707390"/>
                <wp:effectExtent l="7620" t="14605" r="1016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7390"/>
                          <a:chOff x="12072" y="14573"/>
                          <a:chExt cx="2" cy="1114"/>
                        </a:xfrm>
                      </wpg:grpSpPr>
                      <wps:wsp>
                        <wps:cNvPr id="3" name="Freeform 3"/>
                        <wps:cNvSpPr>
                          <a:spLocks/>
                        </wps:cNvSpPr>
                        <wps:spPr bwMode="auto">
                          <a:xfrm>
                            <a:off x="12072" y="14573"/>
                            <a:ext cx="2" cy="1114"/>
                          </a:xfrm>
                          <a:custGeom>
                            <a:avLst/>
                            <a:gdLst>
                              <a:gd name="T0" fmla="+- 0 15686 14573"/>
                              <a:gd name="T1" fmla="*/ 15686 h 1114"/>
                              <a:gd name="T2" fmla="+- 0 14573 14573"/>
                              <a:gd name="T3" fmla="*/ 14573 h 1114"/>
                            </a:gdLst>
                            <a:ahLst/>
                            <a:cxnLst>
                              <a:cxn ang="0">
                                <a:pos x="0" y="T1"/>
                              </a:cxn>
                              <a:cxn ang="0">
                                <a:pos x="0" y="T3"/>
                              </a:cxn>
                            </a:cxnLst>
                            <a:rect l="0" t="0" r="r" b="b"/>
                            <a:pathLst>
                              <a:path h="1114">
                                <a:moveTo>
                                  <a:pt x="0" y="1113"/>
                                </a:moveTo>
                                <a:lnTo>
                                  <a:pt x="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94664" id="Group 2" o:spid="_x0000_s1026" style="position:absolute;margin-left:603.6pt;margin-top:728.65pt;width:.1pt;height:55.7pt;z-index:251657728;mso-position-horizontal-relative:page;mso-position-vertical-relative:page" coordorigin="12072,14573" coordsize="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">
                <v:shape id="Freeform 3" o:spid="_x0000_s1027" style="position:absolute;left:12072;top:14573;width:2;height:1114;visibility:visible;mso-wrap-style:square;v-text-anchor:top" coordsize="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" path="m,1113l,e" filled="f" strokeweight="1.2pt">
                  <v:path arrowok="t" o:connecttype="custom" o:connectlocs="0,15686;0,14573" o:connectangles="0,0"/>
                </v:shape>
                <w10:wrap anchorx="page" anchory="page"/>
              </v:group>
            </w:pict>
          </mc:Fallback>
        </mc:AlternateContent>
      </w:r>
      <w:r w:rsidRPr="00CF634B">
        <w:rPr>
          <w:rFonts w:asciiTheme="minorHAnsi" w:hAnsiTheme="minorHAnsi" w:cs="Arial"/>
          <w:b w:val="0"/>
          <w:szCs w:val="24"/>
          <w:u w:val="none"/>
        </w:rPr>
        <w:t xml:space="preserve"> request that any such manufacturers be excluded from the definition of wholesale drug distributor as follows:</w:t>
      </w:r>
    </w:p>
    <w:p w14:paraId="263152DA" w14:textId="77777777" w:rsidR="00E97E97" w:rsidRPr="00CF634B" w:rsidRDefault="00E97E97" w:rsidP="00E97E97">
      <w:pPr>
        <w:pStyle w:val="Heading1"/>
        <w:spacing w:before="53"/>
        <w:ind w:left="5" w:right="110" w:hanging="5"/>
        <w:jc w:val="both"/>
        <w:rPr>
          <w:rFonts w:asciiTheme="minorHAnsi" w:hAnsiTheme="minorHAnsi" w:cs="Arial"/>
          <w:b w:val="0"/>
          <w:szCs w:val="24"/>
          <w:u w:val="none"/>
        </w:rPr>
      </w:pPr>
    </w:p>
    <w:p w14:paraId="4D444CA3" w14:textId="498FD66F" w:rsidR="00E97E97" w:rsidRPr="00CF634B" w:rsidRDefault="00E97E97" w:rsidP="00E97E97">
      <w:pPr>
        <w:pStyle w:val="Heading1"/>
        <w:spacing w:before="53"/>
        <w:ind w:left="725" w:right="110" w:hanging="5"/>
        <w:jc w:val="both"/>
        <w:rPr>
          <w:rFonts w:asciiTheme="minorHAnsi" w:hAnsiTheme="minorHAnsi" w:cs="Arial"/>
          <w:b w:val="0"/>
          <w:szCs w:val="24"/>
          <w:u w:val="none"/>
        </w:rPr>
      </w:pPr>
      <w:r w:rsidRPr="00CF634B">
        <w:rPr>
          <w:rFonts w:asciiTheme="minorHAnsi" w:hAnsiTheme="minorHAnsi" w:cs="Arial"/>
          <w:b w:val="0"/>
          <w:szCs w:val="24"/>
          <w:u w:val="none"/>
        </w:rPr>
        <w:t>"Wholesale drug distributor" means an entity (other than the manufacturer) that engages in the sale of prescription drugs to persons other than a consumer or patient.</w:t>
      </w:r>
    </w:p>
    <w:p w14:paraId="246CD6FF" w14:textId="77777777" w:rsidR="00B230EE" w:rsidRPr="00CF634B" w:rsidRDefault="00B230EE" w:rsidP="00B230EE">
      <w:pPr>
        <w:rPr>
          <w:rFonts w:asciiTheme="minorHAnsi" w:hAnsiTheme="minorHAnsi" w:cstheme="minorHAnsi"/>
          <w:iCs/>
          <w:sz w:val="24"/>
          <w:szCs w:val="24"/>
        </w:rPr>
      </w:pPr>
    </w:p>
    <w:p w14:paraId="7E80B12D" w14:textId="6D19A94A" w:rsidR="00B230EE" w:rsidRPr="00CF634B" w:rsidRDefault="00B230EE" w:rsidP="00B230EE">
      <w:pPr>
        <w:rPr>
          <w:rFonts w:asciiTheme="minorHAnsi" w:hAnsiTheme="minorHAnsi" w:cstheme="minorHAnsi"/>
          <w:sz w:val="24"/>
          <w:szCs w:val="24"/>
        </w:rPr>
      </w:pPr>
      <w:r w:rsidRPr="00CF634B">
        <w:rPr>
          <w:rFonts w:asciiTheme="minorHAnsi" w:hAnsiTheme="minorHAnsi" w:cstheme="minorHAnsi"/>
          <w:b/>
          <w:sz w:val="24"/>
          <w:szCs w:val="24"/>
        </w:rPr>
        <w:t>MHDO</w:t>
      </w:r>
      <w:r w:rsidR="00023874" w:rsidRPr="00CF634B">
        <w:rPr>
          <w:rFonts w:asciiTheme="minorHAnsi" w:hAnsiTheme="minorHAnsi" w:cstheme="minorHAnsi"/>
          <w:b/>
          <w:sz w:val="24"/>
          <w:szCs w:val="24"/>
        </w:rPr>
        <w:t xml:space="preserve"> Staff</w:t>
      </w:r>
      <w:r w:rsidRPr="00CF634B">
        <w:rPr>
          <w:rFonts w:asciiTheme="minorHAnsi" w:hAnsiTheme="minorHAnsi" w:cstheme="minorHAnsi"/>
          <w:b/>
          <w:sz w:val="24"/>
          <w:szCs w:val="24"/>
        </w:rPr>
        <w:t xml:space="preserve"> Response:  </w:t>
      </w:r>
      <w:r w:rsidR="00E97A04">
        <w:rPr>
          <w:rFonts w:asciiTheme="minorHAnsi" w:hAnsiTheme="minorHAnsi" w:cstheme="minorHAnsi"/>
          <w:sz w:val="24"/>
          <w:szCs w:val="24"/>
        </w:rPr>
        <w:t>Amend</w:t>
      </w:r>
      <w:r w:rsidRPr="00CF634B">
        <w:rPr>
          <w:rFonts w:asciiTheme="minorHAnsi" w:hAnsiTheme="minorHAnsi" w:cstheme="minorHAnsi"/>
          <w:sz w:val="24"/>
          <w:szCs w:val="24"/>
        </w:rPr>
        <w:t xml:space="preserve"> the definition of Wholesale Drug Distributor to exclude manufacturers who hold distributor licenses to ship their own products.</w:t>
      </w:r>
    </w:p>
    <w:p w14:paraId="2A1A028F" w14:textId="77777777" w:rsidR="00B230EE" w:rsidRPr="00CF634B" w:rsidRDefault="00B230EE" w:rsidP="00B230EE">
      <w:pPr>
        <w:rPr>
          <w:rFonts w:asciiTheme="minorHAnsi" w:hAnsiTheme="minorHAnsi" w:cstheme="minorHAnsi"/>
          <w:sz w:val="24"/>
          <w:szCs w:val="24"/>
        </w:rPr>
      </w:pPr>
    </w:p>
    <w:p w14:paraId="42E1017D" w14:textId="645F9EFB" w:rsidR="00B230EE" w:rsidRPr="00CF634B" w:rsidRDefault="00023874" w:rsidP="00B230EE">
      <w:pPr>
        <w:rPr>
          <w:rFonts w:asciiTheme="minorHAnsi" w:hAnsiTheme="minorHAnsi" w:cs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00B230EE" w:rsidRPr="00CF634B">
        <w:rPr>
          <w:rFonts w:asciiTheme="minorHAnsi" w:hAnsiTheme="minorHAnsi" w:cstheme="minorHAnsi"/>
          <w:b/>
          <w:sz w:val="24"/>
          <w:szCs w:val="24"/>
        </w:rPr>
        <w:t xml:space="preserve">  </w:t>
      </w:r>
      <w:r w:rsidR="00B230EE" w:rsidRPr="00CF634B">
        <w:rPr>
          <w:rFonts w:asciiTheme="minorHAnsi" w:hAnsiTheme="minorHAnsi" w:cstheme="minorHAnsi"/>
          <w:sz w:val="24"/>
          <w:szCs w:val="24"/>
        </w:rPr>
        <w:t xml:space="preserve">Amend Section 1 </w:t>
      </w:r>
      <w:r w:rsidR="000A117D">
        <w:rPr>
          <w:rFonts w:asciiTheme="minorHAnsi" w:hAnsiTheme="minorHAnsi" w:cstheme="minorHAnsi"/>
          <w:sz w:val="24"/>
          <w:szCs w:val="24"/>
        </w:rPr>
        <w:t>D</w:t>
      </w:r>
      <w:r w:rsidR="00B230EE" w:rsidRPr="00CF634B">
        <w:rPr>
          <w:rFonts w:asciiTheme="minorHAnsi" w:hAnsiTheme="minorHAnsi" w:cstheme="minorHAnsi"/>
          <w:sz w:val="24"/>
          <w:szCs w:val="24"/>
        </w:rPr>
        <w:t xml:space="preserve">efinition of “Wholesale drug distributor” as follows: </w:t>
      </w:r>
    </w:p>
    <w:p w14:paraId="4D02F492" w14:textId="77777777" w:rsidR="00B230EE" w:rsidRPr="00CF634B" w:rsidRDefault="00B230EE" w:rsidP="00B230EE">
      <w:pPr>
        <w:rPr>
          <w:rFonts w:asciiTheme="minorHAnsi" w:hAnsiTheme="minorHAnsi" w:cstheme="minorHAnsi"/>
          <w:sz w:val="24"/>
          <w:szCs w:val="24"/>
        </w:rPr>
      </w:pPr>
    </w:p>
    <w:p w14:paraId="056D6EEB" w14:textId="5E8C6CC8" w:rsidR="00B230EE" w:rsidRPr="00CF634B" w:rsidRDefault="00B230EE" w:rsidP="00B230EE">
      <w:pPr>
        <w:ind w:left="720"/>
        <w:rPr>
          <w:rFonts w:asciiTheme="minorHAnsi" w:hAnsiTheme="minorHAnsi" w:cstheme="minorHAnsi"/>
          <w:sz w:val="24"/>
          <w:szCs w:val="24"/>
        </w:rPr>
      </w:pPr>
      <w:r w:rsidRPr="00CF634B">
        <w:rPr>
          <w:rFonts w:asciiTheme="minorHAnsi" w:hAnsiTheme="minorHAnsi" w:cstheme="minorHAnsi"/>
          <w:b/>
          <w:sz w:val="24"/>
          <w:szCs w:val="24"/>
        </w:rPr>
        <w:t>Wholesale drug distributor.</w:t>
      </w:r>
      <w:r w:rsidRPr="00CF634B">
        <w:rPr>
          <w:rFonts w:asciiTheme="minorHAnsi" w:hAnsiTheme="minorHAnsi" w:cstheme="minorHAnsi"/>
          <w:sz w:val="24"/>
          <w:szCs w:val="24"/>
        </w:rPr>
        <w:t xml:space="preserve">  “Wholesale drug distributor” means an entity licensed by the State to engage in the sale of prescription drugs</w:t>
      </w:r>
      <w:r w:rsidRPr="00CF634B">
        <w:rPr>
          <w:rFonts w:asciiTheme="minorHAnsi" w:hAnsiTheme="minorHAnsi" w:cstheme="minorHAnsi"/>
          <w:sz w:val="24"/>
          <w:szCs w:val="24"/>
          <w:u w:val="single"/>
        </w:rPr>
        <w:t>, of which it is not the manufacturer,</w:t>
      </w:r>
      <w:r w:rsidRPr="00CF634B">
        <w:rPr>
          <w:rFonts w:asciiTheme="minorHAnsi" w:hAnsiTheme="minorHAnsi" w:cstheme="minorHAnsi"/>
          <w:sz w:val="24"/>
          <w:szCs w:val="24"/>
        </w:rPr>
        <w:t xml:space="preserve"> to persons </w:t>
      </w:r>
      <w:r w:rsidRPr="00CF634B">
        <w:rPr>
          <w:rFonts w:asciiTheme="minorHAnsi" w:hAnsiTheme="minorHAnsi" w:cstheme="minorHAnsi"/>
          <w:sz w:val="24"/>
          <w:szCs w:val="24"/>
          <w:u w:val="single"/>
        </w:rPr>
        <w:t>and/or entities</w:t>
      </w:r>
      <w:r w:rsidRPr="00CF634B">
        <w:rPr>
          <w:rFonts w:asciiTheme="minorHAnsi" w:hAnsiTheme="minorHAnsi" w:cstheme="minorHAnsi"/>
          <w:sz w:val="24"/>
          <w:szCs w:val="24"/>
        </w:rPr>
        <w:t xml:space="preserve"> other than a consumer or patient.</w:t>
      </w:r>
    </w:p>
    <w:p w14:paraId="1BE36D4E" w14:textId="77777777" w:rsidR="00CD196E" w:rsidRDefault="00CD196E" w:rsidP="00A935D3">
      <w:pPr>
        <w:pStyle w:val="Heading2"/>
        <w:kinsoku w:val="0"/>
        <w:overflowPunct w:val="0"/>
        <w:jc w:val="both"/>
        <w:rPr>
          <w:rFonts w:asciiTheme="minorHAnsi" w:hAnsiTheme="minorHAnsi" w:cstheme="minorHAnsi"/>
          <w:sz w:val="24"/>
          <w:szCs w:val="24"/>
          <w:u w:val="none"/>
        </w:rPr>
      </w:pPr>
    </w:p>
    <w:p w14:paraId="04A77ADB" w14:textId="26476466" w:rsidR="00A935D3" w:rsidRPr="00CF634B" w:rsidRDefault="00A935D3" w:rsidP="00A935D3">
      <w:pPr>
        <w:pStyle w:val="Heading2"/>
        <w:kinsoku w:val="0"/>
        <w:overflowPunct w:val="0"/>
        <w:jc w:val="both"/>
        <w:rPr>
          <w:rFonts w:asciiTheme="minorHAnsi" w:hAnsiTheme="minorHAnsi" w:cstheme="minorHAnsi"/>
          <w:b w:val="0"/>
          <w:bCs/>
          <w:sz w:val="24"/>
          <w:szCs w:val="24"/>
          <w:u w:val="none"/>
        </w:rPr>
      </w:pPr>
      <w:r w:rsidRPr="00CF634B">
        <w:rPr>
          <w:rFonts w:asciiTheme="minorHAnsi" w:hAnsiTheme="minorHAnsi" w:cstheme="minorHAnsi"/>
          <w:sz w:val="24"/>
          <w:szCs w:val="24"/>
          <w:u w:val="none"/>
        </w:rPr>
        <w:t>Comment-Section 2 – Registration and</w:t>
      </w:r>
      <w:r w:rsidRPr="00CF634B">
        <w:rPr>
          <w:rFonts w:asciiTheme="minorHAnsi" w:hAnsiTheme="minorHAnsi" w:cstheme="minorHAnsi"/>
          <w:spacing w:val="23"/>
          <w:sz w:val="24"/>
          <w:szCs w:val="24"/>
          <w:u w:val="none"/>
        </w:rPr>
        <w:t xml:space="preserve"> </w:t>
      </w:r>
      <w:r w:rsidRPr="00CF634B">
        <w:rPr>
          <w:rFonts w:asciiTheme="minorHAnsi" w:hAnsiTheme="minorHAnsi" w:cstheme="minorHAnsi"/>
          <w:sz w:val="24"/>
          <w:szCs w:val="24"/>
          <w:u w:val="none"/>
        </w:rPr>
        <w:t>Submission</w:t>
      </w:r>
      <w:r w:rsidRPr="00CF634B">
        <w:rPr>
          <w:rFonts w:asciiTheme="minorHAnsi" w:hAnsiTheme="minorHAnsi" w:cstheme="minorHAnsi"/>
          <w:spacing w:val="37"/>
          <w:sz w:val="24"/>
          <w:szCs w:val="24"/>
          <w:u w:val="none"/>
        </w:rPr>
        <w:t xml:space="preserve"> </w:t>
      </w:r>
      <w:r w:rsidRPr="00CF634B">
        <w:rPr>
          <w:rFonts w:asciiTheme="minorHAnsi" w:hAnsiTheme="minorHAnsi" w:cstheme="minorHAnsi"/>
          <w:sz w:val="24"/>
          <w:szCs w:val="24"/>
          <w:u w:val="none"/>
        </w:rPr>
        <w:t>Requirements</w:t>
      </w:r>
    </w:p>
    <w:p w14:paraId="7144E086" w14:textId="615150B6" w:rsidR="00E97E97" w:rsidRPr="00CF634B" w:rsidRDefault="004A4D2B" w:rsidP="004A4D2B">
      <w:pPr>
        <w:rPr>
          <w:rFonts w:asciiTheme="minorHAnsi" w:hAnsiTheme="minorHAnsi" w:cs="Arial"/>
          <w:sz w:val="24"/>
          <w:szCs w:val="24"/>
        </w:rPr>
      </w:pPr>
      <w:r w:rsidRPr="00CF634B">
        <w:rPr>
          <w:rFonts w:asciiTheme="minorHAnsi" w:hAnsiTheme="minorHAnsi" w:cs="Arial"/>
          <w:sz w:val="24"/>
          <w:szCs w:val="24"/>
        </w:rPr>
        <w:t>We also suggest greater clarity in this section. Specifically, we recommend the following language: "Reporting entities are also responsible for the collection of all data by any sub-contractor that may be required as part of reporting entities submission. " This would provide for the reporting entity to be responsible for obtaining the necessary data from its own subcontractors for the report.</w:t>
      </w:r>
    </w:p>
    <w:p w14:paraId="7A8AC237" w14:textId="77777777" w:rsidR="00B230EE" w:rsidRPr="00CF634B" w:rsidRDefault="00B230EE" w:rsidP="00B230EE">
      <w:pPr>
        <w:pStyle w:val="BodyText"/>
        <w:kinsoku w:val="0"/>
        <w:overflowPunct w:val="0"/>
        <w:ind w:firstLine="14"/>
        <w:jc w:val="both"/>
        <w:rPr>
          <w:rFonts w:asciiTheme="minorHAnsi" w:hAnsiTheme="minorHAnsi" w:cstheme="minorHAnsi"/>
          <w:sz w:val="24"/>
          <w:szCs w:val="24"/>
        </w:rPr>
      </w:pPr>
    </w:p>
    <w:p w14:paraId="79D1E6F9" w14:textId="47AAFE08" w:rsidR="00A935D3" w:rsidRPr="00C9390A" w:rsidRDefault="00A935D3" w:rsidP="00A935D3">
      <w:pPr>
        <w:rPr>
          <w:rFonts w:asciiTheme="minorHAnsi" w:hAnsiTheme="minorHAnsi" w:cstheme="minorHAnsi"/>
          <w:iCs/>
          <w:sz w:val="24"/>
          <w:szCs w:val="24"/>
        </w:rPr>
      </w:pPr>
      <w:r w:rsidRPr="00CF634B">
        <w:rPr>
          <w:rFonts w:asciiTheme="minorHAnsi" w:hAnsiTheme="minorHAnsi" w:cstheme="minorHAnsi"/>
          <w:b/>
          <w:iCs/>
          <w:sz w:val="24"/>
          <w:szCs w:val="24"/>
        </w:rPr>
        <w:t xml:space="preserve">MHDO </w:t>
      </w:r>
      <w:r w:rsidR="00023874" w:rsidRPr="00CF634B">
        <w:rPr>
          <w:rFonts w:asciiTheme="minorHAnsi" w:hAnsiTheme="minorHAnsi" w:cstheme="minorHAnsi"/>
          <w:b/>
          <w:iCs/>
          <w:sz w:val="24"/>
          <w:szCs w:val="24"/>
        </w:rPr>
        <w:t>Staff Response</w:t>
      </w:r>
      <w:r w:rsidR="00DD64C0">
        <w:rPr>
          <w:rFonts w:asciiTheme="minorHAnsi" w:hAnsiTheme="minorHAnsi" w:cstheme="minorHAnsi"/>
          <w:b/>
          <w:iCs/>
          <w:sz w:val="24"/>
          <w:szCs w:val="24"/>
        </w:rPr>
        <w:t xml:space="preserve">:  </w:t>
      </w:r>
      <w:r w:rsidR="00DD64C0">
        <w:rPr>
          <w:rFonts w:asciiTheme="minorHAnsi" w:hAnsiTheme="minorHAnsi" w:cstheme="minorHAnsi"/>
          <w:iCs/>
          <w:sz w:val="24"/>
          <w:szCs w:val="24"/>
        </w:rPr>
        <w:t xml:space="preserve">Amend Section 2 to provide greater clarity that reporting entities warrant the completeness and accuracy of any information provided by a third party on their behalf. </w:t>
      </w:r>
    </w:p>
    <w:p w14:paraId="26D3ABA3" w14:textId="2AC9B31E" w:rsidR="00023874" w:rsidRPr="00CF634B" w:rsidRDefault="00023874" w:rsidP="00A935D3">
      <w:pPr>
        <w:rPr>
          <w:rFonts w:asciiTheme="minorHAnsi" w:hAnsiTheme="minorHAnsi" w:cstheme="minorHAnsi"/>
          <w:b/>
          <w:iCs/>
          <w:sz w:val="24"/>
          <w:szCs w:val="24"/>
        </w:rPr>
      </w:pPr>
    </w:p>
    <w:p w14:paraId="1072515F" w14:textId="77777777" w:rsidR="00C1382F" w:rsidRDefault="00023874" w:rsidP="00A935D3">
      <w:pPr>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w:t>
      </w:r>
      <w:r w:rsidR="00C1382F">
        <w:rPr>
          <w:rFonts w:asciiTheme="minorHAnsi" w:hAnsiTheme="minorHAnsi"/>
          <w:sz w:val="24"/>
          <w:szCs w:val="24"/>
        </w:rPr>
        <w:t xml:space="preserve">Amend Section 2 to read:  </w:t>
      </w:r>
    </w:p>
    <w:p w14:paraId="30BF5632" w14:textId="77777777" w:rsidR="00C1382F" w:rsidRDefault="00C1382F" w:rsidP="00A935D3">
      <w:pPr>
        <w:rPr>
          <w:rFonts w:asciiTheme="minorHAnsi" w:hAnsiTheme="minorHAnsi"/>
          <w:sz w:val="24"/>
          <w:szCs w:val="24"/>
        </w:rPr>
      </w:pPr>
    </w:p>
    <w:p w14:paraId="2E5F5F18" w14:textId="77777777" w:rsidR="00424C0E" w:rsidRPr="00D36EC9" w:rsidRDefault="00424C0E" w:rsidP="00424C0E">
      <w:pPr>
        <w:ind w:left="720"/>
        <w:rPr>
          <w:rFonts w:asciiTheme="minorHAnsi" w:hAnsiTheme="minorHAnsi" w:cstheme="minorHAnsi"/>
          <w:iCs/>
          <w:sz w:val="24"/>
          <w:szCs w:val="24"/>
        </w:rPr>
      </w:pPr>
      <w:r w:rsidRPr="000502BF">
        <w:rPr>
          <w:rFonts w:asciiTheme="minorHAnsi" w:hAnsiTheme="minorHAnsi"/>
          <w:strike/>
          <w:sz w:val="24"/>
          <w:szCs w:val="24"/>
        </w:rPr>
        <w:t>Prescription drug manufacturers, wholesale drug distributors and PBMs</w:t>
      </w:r>
      <w:r w:rsidRPr="000502BF">
        <w:rPr>
          <w:rFonts w:asciiTheme="minorHAnsi" w:hAnsiTheme="minorHAnsi"/>
          <w:sz w:val="24"/>
          <w:szCs w:val="24"/>
        </w:rPr>
        <w:t xml:space="preserve"> </w:t>
      </w:r>
      <w:r w:rsidRPr="00146B68">
        <w:rPr>
          <w:rFonts w:asciiTheme="minorHAnsi" w:hAnsiTheme="minorHAnsi"/>
          <w:sz w:val="24"/>
          <w:szCs w:val="24"/>
          <w:u w:val="single"/>
        </w:rPr>
        <w:t xml:space="preserve">Reporting entities shall submit to the MHDO or its designee complete prescription drug price data sets in accordance with the requirements of this section.  </w:t>
      </w:r>
      <w:r w:rsidRPr="00146B68">
        <w:rPr>
          <w:rFonts w:asciiTheme="minorHAnsi" w:hAnsiTheme="minorHAnsi" w:cstheme="minorHAnsi"/>
          <w:sz w:val="24"/>
          <w:szCs w:val="24"/>
          <w:u w:val="single"/>
        </w:rPr>
        <w:t xml:space="preserve">Data may be submitted by corporate entities or their subsidiaries.  </w:t>
      </w:r>
      <w:r w:rsidRPr="00146B68">
        <w:rPr>
          <w:rFonts w:asciiTheme="minorHAnsi" w:hAnsiTheme="minorHAnsi"/>
          <w:sz w:val="24"/>
          <w:szCs w:val="24"/>
          <w:u w:val="single"/>
        </w:rPr>
        <w:t>Reporting entities that engage subcontractors or other third parties to submit information on their behalf warrant the completeness and accuracy of all data submitted</w:t>
      </w:r>
      <w:r w:rsidRPr="001D6439">
        <w:rPr>
          <w:rFonts w:asciiTheme="minorHAnsi" w:hAnsiTheme="minorHAnsi" w:cstheme="minorHAnsi"/>
          <w:strike/>
          <w:sz w:val="24"/>
          <w:szCs w:val="24"/>
        </w:rPr>
        <w:t xml:space="preserve"> are also responsible for the submission of all data by any sub-contractor on their behalf</w:t>
      </w:r>
      <w:r w:rsidRPr="00D36EC9">
        <w:rPr>
          <w:rFonts w:asciiTheme="minorHAnsi" w:hAnsiTheme="minorHAnsi"/>
          <w:sz w:val="24"/>
          <w:szCs w:val="24"/>
        </w:rPr>
        <w:t>.</w:t>
      </w:r>
    </w:p>
    <w:p w14:paraId="7E922E9F" w14:textId="77777777" w:rsidR="007C4960" w:rsidRPr="00CF634B" w:rsidRDefault="007C4960" w:rsidP="007C4960">
      <w:pPr>
        <w:rPr>
          <w:rFonts w:asciiTheme="minorHAnsi" w:hAnsiTheme="minorHAnsi" w:cs="Arial"/>
          <w:sz w:val="24"/>
          <w:szCs w:val="24"/>
        </w:rPr>
      </w:pPr>
    </w:p>
    <w:p w14:paraId="7BC8A27F" w14:textId="6ADDD79A" w:rsidR="00A935D3" w:rsidRPr="00CF634B" w:rsidRDefault="00023874" w:rsidP="00A935D3">
      <w:pPr>
        <w:pStyle w:val="BodyText"/>
        <w:kinsoku w:val="0"/>
        <w:overflowPunct w:val="0"/>
        <w:ind w:firstLine="14"/>
        <w:jc w:val="both"/>
        <w:rPr>
          <w:rFonts w:asciiTheme="minorHAnsi" w:hAnsiTheme="minorHAnsi"/>
          <w:b w:val="0"/>
          <w:sz w:val="24"/>
          <w:szCs w:val="24"/>
          <w:u w:val="none"/>
        </w:rPr>
      </w:pPr>
      <w:r w:rsidRPr="00CF634B">
        <w:rPr>
          <w:rFonts w:asciiTheme="minorHAnsi" w:hAnsiTheme="minorHAnsi"/>
          <w:sz w:val="24"/>
          <w:szCs w:val="24"/>
          <w:u w:val="none"/>
        </w:rPr>
        <w:t>Comment-</w:t>
      </w:r>
      <w:r w:rsidR="00A935D3" w:rsidRPr="00CF634B">
        <w:rPr>
          <w:rFonts w:asciiTheme="minorHAnsi" w:hAnsiTheme="minorHAnsi"/>
          <w:sz w:val="24"/>
          <w:szCs w:val="24"/>
          <w:u w:val="none"/>
        </w:rPr>
        <w:t>Sections 2(I)(1), (2) – Exclude Acquisition Data for drug products acquired through company acquisition.</w:t>
      </w:r>
    </w:p>
    <w:p w14:paraId="313A60D5" w14:textId="64196B86" w:rsidR="002F6D71" w:rsidRPr="00CF634B" w:rsidRDefault="00E97E97" w:rsidP="002F1B07">
      <w:pPr>
        <w:rPr>
          <w:rFonts w:asciiTheme="minorHAnsi" w:hAnsiTheme="minorHAnsi" w:cs="Arial"/>
          <w:sz w:val="24"/>
          <w:szCs w:val="24"/>
        </w:rPr>
      </w:pPr>
      <w:r w:rsidRPr="00CF634B">
        <w:rPr>
          <w:rFonts w:asciiTheme="minorHAnsi" w:hAnsiTheme="minorHAnsi" w:cs="Arial"/>
          <w:sz w:val="24"/>
          <w:szCs w:val="24"/>
        </w:rPr>
        <w:t>The proposed rule provides that manufacturers report the "Acquisition Date" if the drug product was acquired by the manufacturer within the previous five years. We recommend this be amended to exclude products that are part of an overall company acquisition. When a product is acquired as part of a company merger or acquisition, the reporting liability for that product will pass to the new company. We recommend this reporting specification apply only to individual drugs that are purchased by a company.</w:t>
      </w:r>
    </w:p>
    <w:p w14:paraId="49C29E12" w14:textId="05EB3C20" w:rsidR="007C4960" w:rsidRPr="00CF634B" w:rsidRDefault="007C4960" w:rsidP="007C4960">
      <w:pPr>
        <w:spacing w:before="1"/>
        <w:rPr>
          <w:rFonts w:asciiTheme="minorHAnsi" w:eastAsia="Arial" w:hAnsiTheme="minorHAnsi" w:cs="Arial"/>
          <w:sz w:val="24"/>
          <w:szCs w:val="24"/>
        </w:rPr>
      </w:pPr>
    </w:p>
    <w:p w14:paraId="660882E9" w14:textId="3F3D33B1" w:rsidR="00A935D3" w:rsidRPr="00CF634B" w:rsidRDefault="00A935D3" w:rsidP="00A935D3">
      <w:pPr>
        <w:pStyle w:val="BodyText"/>
        <w:kinsoku w:val="0"/>
        <w:overflowPunct w:val="0"/>
        <w:ind w:firstLine="14"/>
        <w:jc w:val="both"/>
        <w:rPr>
          <w:rFonts w:asciiTheme="minorHAnsi" w:hAnsiTheme="minorHAnsi"/>
          <w:sz w:val="24"/>
          <w:szCs w:val="24"/>
          <w:u w:val="none"/>
        </w:rPr>
      </w:pPr>
      <w:r w:rsidRPr="00CF634B">
        <w:rPr>
          <w:rFonts w:asciiTheme="minorHAnsi" w:hAnsiTheme="minorHAnsi" w:cstheme="minorHAnsi"/>
          <w:sz w:val="24"/>
          <w:szCs w:val="24"/>
          <w:u w:val="none"/>
        </w:rPr>
        <w:t>MHDO</w:t>
      </w:r>
      <w:r w:rsidR="00023874" w:rsidRPr="00CF634B">
        <w:rPr>
          <w:rFonts w:asciiTheme="minorHAnsi" w:hAnsiTheme="minorHAnsi" w:cstheme="minorHAnsi"/>
          <w:sz w:val="24"/>
          <w:szCs w:val="24"/>
          <w:u w:val="none"/>
        </w:rPr>
        <w:t xml:space="preserve"> Staff Response</w:t>
      </w:r>
      <w:r w:rsidRPr="00CF634B">
        <w:rPr>
          <w:rFonts w:asciiTheme="minorHAnsi" w:hAnsiTheme="minorHAnsi" w:cstheme="minorHAnsi"/>
          <w:sz w:val="24"/>
          <w:szCs w:val="24"/>
          <w:u w:val="none"/>
        </w:rPr>
        <w:t xml:space="preserve">:  </w:t>
      </w:r>
      <w:r w:rsidR="00E97A04" w:rsidRPr="00E97A04">
        <w:rPr>
          <w:rFonts w:asciiTheme="minorHAnsi" w:hAnsiTheme="minorHAnsi" w:cstheme="minorHAnsi"/>
          <w:b w:val="0"/>
          <w:sz w:val="24"/>
          <w:szCs w:val="24"/>
          <w:u w:val="none"/>
        </w:rPr>
        <w:t>As the state agency</w:t>
      </w:r>
      <w:r w:rsidR="00E97A04">
        <w:rPr>
          <w:rFonts w:asciiTheme="minorHAnsi" w:hAnsiTheme="minorHAnsi" w:cstheme="minorHAnsi"/>
          <w:sz w:val="24"/>
          <w:szCs w:val="24"/>
          <w:u w:val="none"/>
        </w:rPr>
        <w:t xml:space="preserve"> </w:t>
      </w:r>
      <w:r w:rsidR="00817D55" w:rsidRPr="00CD196E">
        <w:rPr>
          <w:rFonts w:asciiTheme="minorHAnsi" w:hAnsiTheme="minorHAnsi"/>
          <w:b w:val="0"/>
          <w:sz w:val="24"/>
          <w:szCs w:val="24"/>
          <w:u w:val="none"/>
        </w:rPr>
        <w:t xml:space="preserve">responsible for carrying out the mandates applicable to Public Law Chapter 470, An Act </w:t>
      </w:r>
      <w:proofErr w:type="gramStart"/>
      <w:r w:rsidR="00817D55" w:rsidRPr="00CD196E">
        <w:rPr>
          <w:rFonts w:asciiTheme="minorHAnsi" w:hAnsiTheme="minorHAnsi"/>
          <w:b w:val="0"/>
          <w:sz w:val="24"/>
          <w:szCs w:val="24"/>
          <w:u w:val="none"/>
        </w:rPr>
        <w:t>To</w:t>
      </w:r>
      <w:proofErr w:type="gramEnd"/>
      <w:r w:rsidR="00817D55" w:rsidRPr="00CD196E">
        <w:rPr>
          <w:rFonts w:asciiTheme="minorHAnsi" w:hAnsiTheme="minorHAnsi"/>
          <w:b w:val="0"/>
          <w:sz w:val="24"/>
          <w:szCs w:val="24"/>
          <w:u w:val="none"/>
        </w:rPr>
        <w:t xml:space="preserve"> Further Expand Drug Price Transparency</w:t>
      </w:r>
      <w:r w:rsidR="00E97A04">
        <w:rPr>
          <w:rFonts w:asciiTheme="minorHAnsi" w:hAnsiTheme="minorHAnsi"/>
          <w:b w:val="0"/>
          <w:sz w:val="24"/>
          <w:szCs w:val="24"/>
          <w:u w:val="none"/>
        </w:rPr>
        <w:t xml:space="preserve">, it is important to </w:t>
      </w:r>
      <w:r w:rsidRPr="00CD196E">
        <w:rPr>
          <w:rFonts w:asciiTheme="minorHAnsi" w:hAnsiTheme="minorHAnsi"/>
          <w:b w:val="0"/>
          <w:sz w:val="24"/>
          <w:szCs w:val="24"/>
          <w:u w:val="none"/>
        </w:rPr>
        <w:t>understa</w:t>
      </w:r>
      <w:r w:rsidR="00E97A04">
        <w:rPr>
          <w:rFonts w:asciiTheme="minorHAnsi" w:hAnsiTheme="minorHAnsi"/>
          <w:b w:val="0"/>
          <w:sz w:val="24"/>
          <w:szCs w:val="24"/>
          <w:u w:val="none"/>
        </w:rPr>
        <w:t>nd</w:t>
      </w:r>
      <w:r w:rsidRPr="00CD196E">
        <w:rPr>
          <w:rFonts w:asciiTheme="minorHAnsi" w:hAnsiTheme="minorHAnsi"/>
          <w:b w:val="0"/>
          <w:sz w:val="24"/>
          <w:szCs w:val="24"/>
          <w:u w:val="none"/>
        </w:rPr>
        <w:t xml:space="preserve"> the impact to market pricing when drug products are acquired either as a product line or as part of an overall company acquisition.  Reporting entities may provide additional information related to drug product acquisitions by populating the Acquisition Comments data element.</w:t>
      </w:r>
    </w:p>
    <w:p w14:paraId="6F931256" w14:textId="77777777" w:rsidR="00A935D3" w:rsidRPr="00CF634B" w:rsidRDefault="00A935D3" w:rsidP="00A935D3">
      <w:pPr>
        <w:autoSpaceDE w:val="0"/>
        <w:autoSpaceDN w:val="0"/>
        <w:adjustRightInd w:val="0"/>
        <w:rPr>
          <w:rFonts w:asciiTheme="minorHAnsi" w:hAnsiTheme="minorHAnsi"/>
          <w:sz w:val="24"/>
          <w:szCs w:val="24"/>
        </w:rPr>
      </w:pPr>
    </w:p>
    <w:p w14:paraId="78336A72" w14:textId="28932BA7" w:rsidR="00A935D3" w:rsidRPr="00CF634B" w:rsidRDefault="00023874" w:rsidP="00A935D3">
      <w:pPr>
        <w:autoSpaceDE w:val="0"/>
        <w:autoSpaceDN w:val="0"/>
        <w:adjustRightInd w:val="0"/>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00A935D3" w:rsidRPr="00CF634B">
        <w:rPr>
          <w:rFonts w:asciiTheme="minorHAnsi" w:hAnsiTheme="minorHAnsi"/>
          <w:sz w:val="24"/>
          <w:szCs w:val="24"/>
        </w:rPr>
        <w:t xml:space="preserve">  No further action required.</w:t>
      </w:r>
    </w:p>
    <w:p w14:paraId="2DF911E4" w14:textId="77777777" w:rsidR="00A935D3" w:rsidRPr="00CF634B" w:rsidRDefault="00A935D3" w:rsidP="007C4960">
      <w:pPr>
        <w:spacing w:before="1"/>
        <w:rPr>
          <w:rFonts w:asciiTheme="minorHAnsi" w:eastAsia="Arial" w:hAnsiTheme="minorHAnsi" w:cs="Arial"/>
          <w:sz w:val="24"/>
          <w:szCs w:val="24"/>
        </w:rPr>
      </w:pPr>
    </w:p>
    <w:p w14:paraId="2BC018E2" w14:textId="03877198" w:rsidR="00A935D3" w:rsidRPr="00CF634B" w:rsidRDefault="00A935D3" w:rsidP="00A935D3">
      <w:pPr>
        <w:autoSpaceDE w:val="0"/>
        <w:autoSpaceDN w:val="0"/>
        <w:adjustRightInd w:val="0"/>
        <w:rPr>
          <w:rFonts w:asciiTheme="minorHAnsi" w:hAnsiTheme="minorHAnsi" w:cs="Calibri"/>
          <w:b/>
          <w:sz w:val="24"/>
          <w:szCs w:val="24"/>
        </w:rPr>
      </w:pPr>
      <w:r w:rsidRPr="00CF634B">
        <w:rPr>
          <w:rFonts w:asciiTheme="minorHAnsi" w:hAnsiTheme="minorHAnsi" w:cs="Arial"/>
          <w:b/>
          <w:sz w:val="24"/>
          <w:szCs w:val="24"/>
        </w:rPr>
        <w:t>Comment-</w:t>
      </w:r>
      <w:r w:rsidRPr="00CF634B">
        <w:rPr>
          <w:rFonts w:asciiTheme="minorHAnsi" w:hAnsiTheme="minorHAnsi" w:cs="Calibri"/>
          <w:b/>
          <w:sz w:val="24"/>
          <w:szCs w:val="24"/>
        </w:rPr>
        <w:t xml:space="preserve"> Retroactivity of Proposed Rules</w:t>
      </w:r>
    </w:p>
    <w:p w14:paraId="5DCEC0AB" w14:textId="48C6E97E" w:rsidR="002F6D71" w:rsidRPr="00CF634B" w:rsidRDefault="00A935D3" w:rsidP="002F1B07">
      <w:pPr>
        <w:rPr>
          <w:rFonts w:asciiTheme="minorHAnsi" w:hAnsiTheme="minorHAnsi" w:cs="Arial"/>
          <w:sz w:val="24"/>
          <w:szCs w:val="24"/>
        </w:rPr>
      </w:pPr>
      <w:r w:rsidRPr="00CF634B">
        <w:rPr>
          <w:rFonts w:asciiTheme="minorHAnsi" w:hAnsiTheme="minorHAnsi" w:cs="Arial"/>
          <w:sz w:val="24"/>
          <w:szCs w:val="24"/>
        </w:rPr>
        <w:t>The</w:t>
      </w:r>
      <w:r w:rsidR="00E97E97" w:rsidRPr="00CF634B">
        <w:rPr>
          <w:rFonts w:asciiTheme="minorHAnsi" w:hAnsiTheme="minorHAnsi" w:cs="Arial"/>
          <w:sz w:val="24"/>
          <w:szCs w:val="24"/>
        </w:rPr>
        <w:t xml:space="preserve"> first manufacturer reports are due March 31, 2020 for drugs that have had pricing increases of 20% over the prior calendar year. Because the law was not effective until September 1, 2019, we request that MHDO clarify if the report would cover price increases from January 1 through December 31, 2019 or September 1 through December 31, 2019.</w:t>
      </w:r>
    </w:p>
    <w:p w14:paraId="4A36FE37" w14:textId="77777777" w:rsidR="007C4960" w:rsidRPr="00CF634B" w:rsidRDefault="007C4960" w:rsidP="007C4960">
      <w:pPr>
        <w:rPr>
          <w:rFonts w:asciiTheme="minorHAnsi" w:hAnsiTheme="minorHAnsi" w:cs="Arial"/>
          <w:sz w:val="24"/>
          <w:szCs w:val="24"/>
        </w:rPr>
      </w:pPr>
    </w:p>
    <w:p w14:paraId="76BD50FA" w14:textId="34CB35A4" w:rsidR="00817D55" w:rsidRPr="00CF634B" w:rsidRDefault="00817D55" w:rsidP="00817D55">
      <w:pPr>
        <w:rPr>
          <w:rFonts w:asciiTheme="minorHAnsi" w:hAnsiTheme="minorHAnsi" w:cs="Arial"/>
          <w:b/>
          <w:sz w:val="24"/>
          <w:szCs w:val="24"/>
        </w:rPr>
      </w:pPr>
      <w:r w:rsidRPr="00CF634B">
        <w:rPr>
          <w:rFonts w:asciiTheme="minorHAnsi" w:hAnsiTheme="minorHAnsi" w:cs="Arial"/>
          <w:b/>
          <w:sz w:val="24"/>
          <w:szCs w:val="24"/>
        </w:rPr>
        <w:t xml:space="preserve">MHDO Staff Response:  </w:t>
      </w:r>
      <w:r w:rsidR="00E97A04">
        <w:rPr>
          <w:rFonts w:asciiTheme="minorHAnsi" w:hAnsiTheme="minorHAnsi" w:cs="Arial"/>
          <w:sz w:val="24"/>
          <w:szCs w:val="24"/>
        </w:rPr>
        <w:t>Amend</w:t>
      </w:r>
      <w:r w:rsidRPr="00CD196E">
        <w:rPr>
          <w:rFonts w:asciiTheme="minorHAnsi" w:hAnsiTheme="minorHAnsi" w:cs="Arial"/>
          <w:sz w:val="24"/>
          <w:szCs w:val="24"/>
        </w:rPr>
        <w:t xml:space="preserve"> the proposed rule to clarify that price increases on or after September </w:t>
      </w:r>
      <w:r w:rsidR="00C9390A">
        <w:rPr>
          <w:rFonts w:asciiTheme="minorHAnsi" w:hAnsiTheme="minorHAnsi" w:cs="Arial"/>
          <w:sz w:val="24"/>
          <w:szCs w:val="24"/>
        </w:rPr>
        <w:t>19</w:t>
      </w:r>
      <w:r w:rsidRPr="00CD196E">
        <w:rPr>
          <w:rFonts w:asciiTheme="minorHAnsi" w:hAnsiTheme="minorHAnsi" w:cs="Arial"/>
          <w:sz w:val="24"/>
          <w:szCs w:val="24"/>
        </w:rPr>
        <w:t xml:space="preserve">, 2019 count toward the price increase thresholds set forth in Section 2. B.  </w:t>
      </w:r>
      <w:r w:rsidRPr="00CD196E">
        <w:rPr>
          <w:rFonts w:asciiTheme="minorHAnsi" w:hAnsiTheme="minorHAnsi"/>
          <w:sz w:val="24"/>
          <w:szCs w:val="24"/>
        </w:rPr>
        <w:t>Notifications by Manufacturers</w:t>
      </w:r>
      <w:r w:rsidRPr="00CF634B">
        <w:rPr>
          <w:rFonts w:asciiTheme="minorHAnsi" w:hAnsiTheme="minorHAnsi" w:cs="Arial"/>
          <w:b/>
          <w:sz w:val="24"/>
          <w:szCs w:val="24"/>
        </w:rPr>
        <w:t xml:space="preserve">  </w:t>
      </w:r>
    </w:p>
    <w:p w14:paraId="57D8824D" w14:textId="77777777" w:rsidR="00817D55" w:rsidRPr="00CF634B" w:rsidRDefault="00817D55" w:rsidP="00817D55">
      <w:pPr>
        <w:rPr>
          <w:rFonts w:asciiTheme="minorHAnsi" w:hAnsiTheme="minorHAnsi" w:cs="Arial"/>
          <w:b/>
          <w:sz w:val="24"/>
          <w:szCs w:val="24"/>
        </w:rPr>
      </w:pPr>
    </w:p>
    <w:p w14:paraId="280BAB00" w14:textId="596E129D" w:rsidR="00817D55" w:rsidRPr="00CF634B" w:rsidRDefault="00817D55" w:rsidP="00817D55">
      <w:pPr>
        <w:rPr>
          <w:rFonts w:asciiTheme="minorHAnsi" w:hAnsiTheme="minorHAnsi"/>
          <w:sz w:val="24"/>
          <w:szCs w:val="24"/>
        </w:rPr>
      </w:pPr>
      <w:r w:rsidRPr="00CF634B">
        <w:rPr>
          <w:rFonts w:asciiTheme="minorHAnsi" w:hAnsiTheme="minorHAnsi" w:cs="Arial"/>
          <w:b/>
          <w:sz w:val="24"/>
          <w:szCs w:val="24"/>
        </w:rPr>
        <w:t>Recommended</w:t>
      </w:r>
      <w:r w:rsidRPr="00CF634B">
        <w:rPr>
          <w:rFonts w:asciiTheme="minorHAnsi" w:hAnsiTheme="minorHAnsi"/>
          <w:b/>
          <w:sz w:val="24"/>
          <w:szCs w:val="24"/>
        </w:rPr>
        <w:t xml:space="preserve"> Board Action:</w:t>
      </w:r>
      <w:r w:rsidRPr="00CF634B">
        <w:rPr>
          <w:rFonts w:asciiTheme="minorHAnsi" w:hAnsiTheme="minorHAnsi"/>
          <w:sz w:val="24"/>
          <w:szCs w:val="24"/>
        </w:rPr>
        <w:t xml:space="preserve">  Amend </w:t>
      </w:r>
      <w:r w:rsidR="000A117D">
        <w:rPr>
          <w:rFonts w:asciiTheme="minorHAnsi" w:hAnsiTheme="minorHAnsi"/>
          <w:sz w:val="24"/>
          <w:szCs w:val="24"/>
        </w:rPr>
        <w:t xml:space="preserve">Section </w:t>
      </w:r>
      <w:r w:rsidRPr="00CF634B">
        <w:rPr>
          <w:rFonts w:asciiTheme="minorHAnsi" w:hAnsiTheme="minorHAnsi"/>
          <w:sz w:val="24"/>
          <w:szCs w:val="24"/>
        </w:rPr>
        <w:t>2.B</w:t>
      </w:r>
      <w:r w:rsidR="00EE73A5">
        <w:rPr>
          <w:rFonts w:asciiTheme="minorHAnsi" w:hAnsiTheme="minorHAnsi"/>
          <w:sz w:val="24"/>
          <w:szCs w:val="24"/>
        </w:rPr>
        <w:t>.</w:t>
      </w:r>
      <w:r w:rsidRPr="00CF634B">
        <w:rPr>
          <w:rFonts w:asciiTheme="minorHAnsi" w:hAnsiTheme="minorHAnsi"/>
          <w:sz w:val="24"/>
          <w:szCs w:val="24"/>
        </w:rPr>
        <w:t xml:space="preserve"> Notifications by Manufacturers as follows:</w:t>
      </w:r>
    </w:p>
    <w:p w14:paraId="62ABEF79" w14:textId="77777777" w:rsidR="00817D55" w:rsidRPr="00CF634B" w:rsidRDefault="00817D55" w:rsidP="00817D55">
      <w:pPr>
        <w:rPr>
          <w:rFonts w:asciiTheme="minorHAnsi" w:hAnsiTheme="minorHAnsi"/>
          <w:sz w:val="24"/>
          <w:szCs w:val="24"/>
        </w:rPr>
      </w:pPr>
    </w:p>
    <w:p w14:paraId="43C1BEFE" w14:textId="77777777" w:rsidR="00A6776C" w:rsidRDefault="00817D55" w:rsidP="000A117D">
      <w:pPr>
        <w:ind w:left="720"/>
        <w:rPr>
          <w:rFonts w:asciiTheme="minorHAnsi" w:hAnsiTheme="minorHAnsi"/>
          <w:sz w:val="24"/>
          <w:szCs w:val="24"/>
        </w:rPr>
      </w:pPr>
      <w:r w:rsidRPr="000A117D">
        <w:rPr>
          <w:rFonts w:asciiTheme="minorHAnsi" w:hAnsiTheme="minorHAnsi"/>
          <w:b/>
          <w:sz w:val="24"/>
          <w:szCs w:val="24"/>
        </w:rPr>
        <w:t>2.B</w:t>
      </w:r>
      <w:r w:rsidR="00F024F6">
        <w:rPr>
          <w:rFonts w:asciiTheme="minorHAnsi" w:hAnsiTheme="minorHAnsi"/>
          <w:b/>
          <w:sz w:val="24"/>
          <w:szCs w:val="24"/>
        </w:rPr>
        <w:t>.</w:t>
      </w:r>
      <w:r w:rsidRPr="000A117D">
        <w:rPr>
          <w:rFonts w:asciiTheme="minorHAnsi" w:hAnsiTheme="minorHAnsi"/>
          <w:b/>
          <w:sz w:val="24"/>
          <w:szCs w:val="24"/>
        </w:rPr>
        <w:t xml:space="preserve"> Notifications by Manufacturers</w:t>
      </w:r>
      <w:r w:rsidRPr="00CF634B">
        <w:rPr>
          <w:rFonts w:asciiTheme="minorHAnsi" w:hAnsiTheme="minorHAnsi"/>
          <w:sz w:val="24"/>
          <w:szCs w:val="24"/>
        </w:rPr>
        <w:t xml:space="preserve">.  No later than March 31st, 2020 and January 30th of each year thereafter, a manufacturer shall notify the MHDO via the MHDO Pharmacy Portal web interface when the manufacturer has during the prior calendar year: </w:t>
      </w:r>
      <w:r w:rsidR="00A6776C">
        <w:rPr>
          <w:rFonts w:asciiTheme="minorHAnsi" w:hAnsiTheme="minorHAnsi"/>
          <w:sz w:val="24"/>
          <w:szCs w:val="24"/>
        </w:rPr>
        <w:t xml:space="preserve"> </w:t>
      </w:r>
    </w:p>
    <w:p w14:paraId="6FB541CF" w14:textId="77777777" w:rsidR="00A6776C" w:rsidRDefault="00A6776C" w:rsidP="000A117D">
      <w:pPr>
        <w:ind w:left="720"/>
        <w:rPr>
          <w:rFonts w:asciiTheme="minorHAnsi" w:hAnsiTheme="minorHAnsi"/>
          <w:sz w:val="24"/>
          <w:szCs w:val="24"/>
          <w:u w:val="single"/>
        </w:rPr>
      </w:pPr>
    </w:p>
    <w:p w14:paraId="790ED1F1" w14:textId="50C17F61" w:rsidR="00817D55" w:rsidRPr="00CF634B" w:rsidRDefault="00817D55" w:rsidP="000A117D">
      <w:pPr>
        <w:ind w:left="720"/>
        <w:rPr>
          <w:rFonts w:asciiTheme="minorHAnsi" w:hAnsiTheme="minorHAnsi"/>
          <w:sz w:val="24"/>
          <w:szCs w:val="24"/>
          <w:u w:val="single"/>
        </w:rPr>
      </w:pPr>
      <w:r w:rsidRPr="00CF634B">
        <w:rPr>
          <w:rFonts w:asciiTheme="minorHAnsi" w:hAnsiTheme="minorHAnsi"/>
          <w:sz w:val="24"/>
          <w:szCs w:val="24"/>
          <w:u w:val="single"/>
        </w:rPr>
        <w:t xml:space="preserve">(Note:  </w:t>
      </w:r>
      <w:r w:rsidR="00141941">
        <w:rPr>
          <w:rFonts w:asciiTheme="minorHAnsi" w:hAnsiTheme="minorHAnsi"/>
          <w:sz w:val="24"/>
          <w:szCs w:val="24"/>
          <w:u w:val="single"/>
        </w:rPr>
        <w:t>Only those p</w:t>
      </w:r>
      <w:r w:rsidRPr="00CF634B">
        <w:rPr>
          <w:rFonts w:asciiTheme="minorHAnsi" w:hAnsiTheme="minorHAnsi"/>
          <w:sz w:val="24"/>
          <w:szCs w:val="24"/>
          <w:u w:val="single"/>
        </w:rPr>
        <w:t xml:space="preserve">rice increases taken on or after September </w:t>
      </w:r>
      <w:r w:rsidR="000A117D">
        <w:rPr>
          <w:rFonts w:asciiTheme="minorHAnsi" w:hAnsiTheme="minorHAnsi"/>
          <w:sz w:val="24"/>
          <w:szCs w:val="24"/>
          <w:u w:val="single"/>
        </w:rPr>
        <w:t>19</w:t>
      </w:r>
      <w:r w:rsidRPr="00CF634B">
        <w:rPr>
          <w:rFonts w:asciiTheme="minorHAnsi" w:hAnsiTheme="minorHAnsi"/>
          <w:sz w:val="24"/>
          <w:szCs w:val="24"/>
          <w:u w:val="single"/>
        </w:rPr>
        <w:t>, 2019 count toward the thresholds defined below</w:t>
      </w:r>
      <w:r w:rsidR="003C0E15" w:rsidRPr="000502BF">
        <w:rPr>
          <w:rFonts w:asciiTheme="minorHAnsi" w:hAnsiTheme="minorHAnsi"/>
          <w:sz w:val="24"/>
          <w:szCs w:val="24"/>
          <w:u w:val="single"/>
        </w:rPr>
        <w:t>.</w:t>
      </w:r>
      <w:r w:rsidRPr="000502BF">
        <w:rPr>
          <w:rFonts w:asciiTheme="minorHAnsi" w:hAnsiTheme="minorHAnsi"/>
          <w:sz w:val="24"/>
          <w:szCs w:val="24"/>
          <w:u w:val="single"/>
        </w:rPr>
        <w:t>)</w:t>
      </w:r>
    </w:p>
    <w:p w14:paraId="1441284A" w14:textId="23A8FC02" w:rsidR="00CD196E" w:rsidRDefault="00CD196E" w:rsidP="00E97E97">
      <w:pPr>
        <w:rPr>
          <w:rFonts w:asciiTheme="minorHAnsi" w:hAnsiTheme="minorHAnsi" w:cs="Arial"/>
          <w:b/>
          <w:sz w:val="24"/>
          <w:szCs w:val="24"/>
        </w:rPr>
      </w:pPr>
    </w:p>
    <w:p w14:paraId="21CE1C9B" w14:textId="347C010D" w:rsidR="00927BA8" w:rsidRPr="00CF634B" w:rsidRDefault="00A935D3" w:rsidP="00E97E97">
      <w:pPr>
        <w:rPr>
          <w:rFonts w:asciiTheme="minorHAnsi" w:hAnsiTheme="minorHAnsi" w:cs="Arial"/>
          <w:b/>
          <w:sz w:val="24"/>
          <w:szCs w:val="24"/>
        </w:rPr>
      </w:pPr>
      <w:r w:rsidRPr="00CF634B">
        <w:rPr>
          <w:rFonts w:asciiTheme="minorHAnsi" w:hAnsiTheme="minorHAnsi" w:cs="Arial"/>
          <w:b/>
          <w:sz w:val="24"/>
          <w:szCs w:val="24"/>
        </w:rPr>
        <w:t>Comment-</w:t>
      </w:r>
      <w:r w:rsidR="00927BA8" w:rsidRPr="00CF634B">
        <w:rPr>
          <w:rFonts w:asciiTheme="minorHAnsi" w:hAnsiTheme="minorHAnsi" w:cs="Arial"/>
          <w:b/>
          <w:sz w:val="24"/>
          <w:szCs w:val="24"/>
        </w:rPr>
        <w:t xml:space="preserve"> Compliance / Audit</w:t>
      </w:r>
    </w:p>
    <w:p w14:paraId="683687BE" w14:textId="140F3991" w:rsidR="002F6D71" w:rsidRPr="00CF634B" w:rsidRDefault="002F6D71" w:rsidP="002F1B07">
      <w:pPr>
        <w:rPr>
          <w:rFonts w:asciiTheme="minorHAnsi" w:hAnsiTheme="minorHAnsi" w:cs="Arial"/>
          <w:sz w:val="24"/>
          <w:szCs w:val="24"/>
        </w:rPr>
      </w:pPr>
      <w:r w:rsidRPr="00CF634B">
        <w:rPr>
          <w:rFonts w:asciiTheme="minorHAnsi" w:hAnsiTheme="minorHAnsi" w:cs="Arial"/>
          <w:sz w:val="24"/>
          <w:szCs w:val="24"/>
        </w:rPr>
        <w:t>While L.D.1162 provides MHDO with authority to perform audits, it does not provide clarity on when such audits may be appropriate. In order to steward MHDO funding and not create an undue burden on reporting entities, we recommend that this language be amended to articulate when an audit would be appropriate (e.g., if MHDO reasonably determines that a material quality issue exists with respect to the submitted report).</w:t>
      </w:r>
    </w:p>
    <w:p w14:paraId="086404FC" w14:textId="77777777" w:rsidR="007D5757" w:rsidRPr="00CF634B" w:rsidRDefault="007D5757" w:rsidP="002F6D71">
      <w:pPr>
        <w:jc w:val="both"/>
        <w:rPr>
          <w:rFonts w:asciiTheme="minorHAnsi" w:hAnsiTheme="minorHAnsi" w:cs="Arial"/>
          <w:b/>
          <w:sz w:val="24"/>
          <w:szCs w:val="24"/>
        </w:rPr>
      </w:pPr>
    </w:p>
    <w:p w14:paraId="4F6A4F77" w14:textId="77777777" w:rsidR="00A6776C" w:rsidRPr="00CF634B" w:rsidRDefault="002F6D71" w:rsidP="00A6776C">
      <w:pPr>
        <w:autoSpaceDE w:val="0"/>
        <w:autoSpaceDN w:val="0"/>
        <w:adjustRightInd w:val="0"/>
        <w:rPr>
          <w:rFonts w:asciiTheme="minorHAnsi" w:hAnsiTheme="minorHAnsi" w:cstheme="minorHAnsi"/>
          <w:b/>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  </w:t>
      </w:r>
      <w:r w:rsidR="00A6776C" w:rsidRPr="00CD196E">
        <w:rPr>
          <w:rFonts w:asciiTheme="minorHAnsi" w:hAnsiTheme="minorHAnsi" w:cstheme="minorHAnsi"/>
          <w:sz w:val="24"/>
          <w:szCs w:val="24"/>
        </w:rPr>
        <w:t xml:space="preserve">Add language to Section 4.B. </w:t>
      </w:r>
      <w:r w:rsidR="00A6776C">
        <w:rPr>
          <w:rFonts w:asciiTheme="minorHAnsi" w:hAnsiTheme="minorHAnsi" w:cstheme="minorHAnsi"/>
          <w:sz w:val="24"/>
          <w:szCs w:val="24"/>
        </w:rPr>
        <w:t>that states that the MHDO will consider recommendations from the reporting entity as to the scope of the audit and the selection of the independent auditor.</w:t>
      </w:r>
    </w:p>
    <w:p w14:paraId="5C6FA6F8" w14:textId="194468E4" w:rsidR="00B80F46" w:rsidRPr="00CF634B" w:rsidRDefault="00B80F46" w:rsidP="002F6D71">
      <w:pPr>
        <w:jc w:val="both"/>
        <w:rPr>
          <w:rFonts w:asciiTheme="minorHAnsi" w:hAnsiTheme="minorHAnsi" w:cs="Arial"/>
          <w:sz w:val="24"/>
          <w:szCs w:val="24"/>
        </w:rPr>
      </w:pPr>
    </w:p>
    <w:p w14:paraId="25FF3EB2" w14:textId="2041FFB4" w:rsidR="00CF634B" w:rsidRPr="00C86B80" w:rsidRDefault="00023874" w:rsidP="00CF634B">
      <w:pPr>
        <w:rPr>
          <w:rFonts w:asciiTheme="minorHAnsi" w:hAnsiTheme="minorHAnsi" w:cs="Arial"/>
          <w:sz w:val="24"/>
          <w:szCs w:val="24"/>
        </w:rPr>
      </w:pPr>
      <w:r w:rsidRPr="00CF634B">
        <w:rPr>
          <w:rFonts w:asciiTheme="minorHAnsi" w:hAnsiTheme="minorHAnsi" w:cs="Arial"/>
          <w:b/>
          <w:sz w:val="24"/>
          <w:szCs w:val="24"/>
        </w:rPr>
        <w:t>Recommended Board Action:</w:t>
      </w:r>
      <w:r w:rsidR="00C86B80">
        <w:rPr>
          <w:rFonts w:asciiTheme="minorHAnsi" w:hAnsiTheme="minorHAnsi" w:cs="Arial"/>
          <w:b/>
          <w:sz w:val="24"/>
          <w:szCs w:val="24"/>
        </w:rPr>
        <w:t xml:space="preserve"> </w:t>
      </w:r>
      <w:r w:rsidR="00C86B80" w:rsidRPr="00C86B80">
        <w:rPr>
          <w:rFonts w:asciiTheme="minorHAnsi" w:hAnsiTheme="minorHAnsi" w:cs="Arial"/>
          <w:sz w:val="24"/>
          <w:szCs w:val="24"/>
        </w:rPr>
        <w:t>Amend Section 4.B. Audit as follows:</w:t>
      </w:r>
    </w:p>
    <w:p w14:paraId="7FE1F3BD" w14:textId="77777777" w:rsidR="00C86B80" w:rsidRPr="00CF634B" w:rsidRDefault="00C86B80" w:rsidP="00CF634B">
      <w:pPr>
        <w:rPr>
          <w:rFonts w:asciiTheme="minorHAnsi" w:hAnsiTheme="minorHAnsi" w:cs="Arial"/>
          <w:b/>
          <w:sz w:val="24"/>
          <w:szCs w:val="24"/>
        </w:rPr>
      </w:pPr>
    </w:p>
    <w:p w14:paraId="0D7B53C8" w14:textId="12F4E0EC" w:rsidR="00A6776C" w:rsidRPr="00CF634B" w:rsidRDefault="00A6776C" w:rsidP="00A6776C">
      <w:pPr>
        <w:autoSpaceDE w:val="0"/>
        <w:autoSpaceDN w:val="0"/>
        <w:adjustRightInd w:val="0"/>
        <w:ind w:left="720"/>
        <w:rPr>
          <w:rFonts w:asciiTheme="minorHAnsi" w:hAnsiTheme="minorHAnsi" w:cstheme="minorHAnsi"/>
          <w:sz w:val="24"/>
          <w:szCs w:val="24"/>
          <w:u w:val="single"/>
        </w:rPr>
      </w:pPr>
      <w:bookmarkStart w:id="3" w:name="_Hlk29038469"/>
      <w:r w:rsidRPr="000A117D">
        <w:rPr>
          <w:rFonts w:asciiTheme="minorHAnsi" w:hAnsiTheme="minorHAnsi"/>
          <w:b/>
          <w:sz w:val="24"/>
          <w:szCs w:val="24"/>
        </w:rPr>
        <w:t>Section 4.B.</w:t>
      </w:r>
      <w:r w:rsidRPr="00CF634B">
        <w:rPr>
          <w:rFonts w:asciiTheme="minorHAnsi" w:hAnsiTheme="minorHAnsi"/>
          <w:sz w:val="24"/>
          <w:szCs w:val="24"/>
        </w:rPr>
        <w:t xml:space="preserve"> </w:t>
      </w:r>
      <w:r w:rsidRPr="00CF634B">
        <w:rPr>
          <w:rFonts w:asciiTheme="minorHAnsi" w:hAnsiTheme="minorHAnsi"/>
          <w:b/>
          <w:sz w:val="24"/>
          <w:szCs w:val="24"/>
        </w:rPr>
        <w:t>Audit.</w:t>
      </w:r>
      <w:r w:rsidRPr="00CF634B">
        <w:rPr>
          <w:rFonts w:asciiTheme="minorHAnsi" w:hAnsiTheme="minorHAnsi"/>
          <w:sz w:val="24"/>
          <w:szCs w:val="24"/>
        </w:rPr>
        <w:t xml:space="preserve"> </w:t>
      </w:r>
      <w:r>
        <w:rPr>
          <w:rFonts w:asciiTheme="minorHAnsi" w:hAnsiTheme="minorHAnsi"/>
          <w:sz w:val="24"/>
          <w:szCs w:val="24"/>
        </w:rPr>
        <w:t>W</w:t>
      </w:r>
      <w:r w:rsidRPr="00CF634B">
        <w:rPr>
          <w:rFonts w:asciiTheme="minorHAnsi" w:hAnsiTheme="minorHAnsi"/>
          <w:sz w:val="24"/>
          <w:szCs w:val="24"/>
        </w:rPr>
        <w:t>ith a 30-day notice, the MHDO may audit the finalized data submitted by a reporting entity, and that entity shall pay for the costs of the audit</w:t>
      </w:r>
      <w:r w:rsidRPr="00B470AC">
        <w:rPr>
          <w:rFonts w:asciiTheme="minorHAnsi" w:hAnsiTheme="minorHAnsi"/>
          <w:sz w:val="24"/>
          <w:szCs w:val="24"/>
        </w:rPr>
        <w:t xml:space="preserve">.  </w:t>
      </w:r>
      <w:r w:rsidRPr="00B470AC">
        <w:rPr>
          <w:rFonts w:asciiTheme="minorHAnsi" w:hAnsiTheme="minorHAnsi"/>
          <w:sz w:val="24"/>
          <w:szCs w:val="24"/>
          <w:u w:val="single"/>
        </w:rPr>
        <w:t>The MHDO will consider recommendations from the reporting entity as to the scope of the audit and the selection of the independent auditor.</w:t>
      </w:r>
    </w:p>
    <w:bookmarkEnd w:id="3"/>
    <w:p w14:paraId="7913F6CC" w14:textId="77777777" w:rsidR="00023874" w:rsidRPr="00CF634B" w:rsidRDefault="00023874" w:rsidP="00023874">
      <w:pPr>
        <w:rPr>
          <w:rFonts w:asciiTheme="minorHAnsi" w:hAnsiTheme="minorHAnsi" w:cs="Arial"/>
          <w:b/>
          <w:sz w:val="24"/>
          <w:szCs w:val="24"/>
        </w:rPr>
      </w:pPr>
    </w:p>
    <w:p w14:paraId="20635757" w14:textId="3A0A3AB7" w:rsidR="008D4C63" w:rsidRPr="00933CA8" w:rsidRDefault="008D4C63" w:rsidP="00C86B80">
      <w:pPr>
        <w:pStyle w:val="ListParagraph"/>
        <w:numPr>
          <w:ilvl w:val="0"/>
          <w:numId w:val="38"/>
        </w:numPr>
        <w:rPr>
          <w:rFonts w:asciiTheme="minorHAnsi" w:hAnsiTheme="minorHAnsi" w:cs="Arial"/>
          <w:b/>
          <w:sz w:val="28"/>
          <w:szCs w:val="28"/>
        </w:rPr>
      </w:pPr>
      <w:r w:rsidRPr="00933CA8">
        <w:rPr>
          <w:rFonts w:asciiTheme="minorHAnsi" w:hAnsiTheme="minorHAnsi" w:cs="Arial"/>
          <w:b/>
          <w:sz w:val="28"/>
          <w:szCs w:val="28"/>
        </w:rPr>
        <w:t xml:space="preserve">Healthcare Distributors Alliance </w:t>
      </w:r>
      <w:r w:rsidR="00A935D3" w:rsidRPr="00933CA8">
        <w:rPr>
          <w:rFonts w:asciiTheme="minorHAnsi" w:hAnsiTheme="minorHAnsi" w:cs="Arial"/>
          <w:b/>
          <w:sz w:val="28"/>
          <w:szCs w:val="28"/>
        </w:rPr>
        <w:t>submitted the</w:t>
      </w:r>
      <w:r w:rsidRPr="00933CA8">
        <w:rPr>
          <w:rFonts w:asciiTheme="minorHAnsi" w:hAnsiTheme="minorHAnsi" w:cs="Arial"/>
          <w:b/>
          <w:sz w:val="28"/>
          <w:szCs w:val="28"/>
        </w:rPr>
        <w:t xml:space="preserve"> following comments:</w:t>
      </w:r>
    </w:p>
    <w:p w14:paraId="357B595F" w14:textId="77777777" w:rsidR="00C86B80" w:rsidRPr="00C86B80" w:rsidRDefault="00C86B80" w:rsidP="00C86B80">
      <w:pPr>
        <w:pStyle w:val="ListParagraph"/>
        <w:ind w:left="360"/>
        <w:rPr>
          <w:rFonts w:asciiTheme="minorHAnsi" w:hAnsiTheme="minorHAnsi" w:cs="Arial"/>
          <w:b/>
          <w:sz w:val="24"/>
          <w:szCs w:val="24"/>
        </w:rPr>
      </w:pPr>
    </w:p>
    <w:p w14:paraId="5F11AA8C" w14:textId="4D772CB5" w:rsidR="00A935D3" w:rsidRPr="00CF634B" w:rsidRDefault="00C86B80" w:rsidP="007C7949">
      <w:pPr>
        <w:pStyle w:val="ListParagraph"/>
        <w:ind w:left="0"/>
        <w:rPr>
          <w:rFonts w:asciiTheme="minorHAnsi" w:hAnsiTheme="minorHAnsi" w:cstheme="minorHAnsi"/>
          <w:b/>
          <w:sz w:val="24"/>
          <w:szCs w:val="24"/>
        </w:rPr>
      </w:pPr>
      <w:r>
        <w:rPr>
          <w:rFonts w:asciiTheme="minorHAnsi" w:hAnsiTheme="minorHAnsi"/>
          <w:b/>
          <w:bCs/>
          <w:sz w:val="24"/>
          <w:szCs w:val="24"/>
        </w:rPr>
        <w:t>Comment-</w:t>
      </w:r>
      <w:r w:rsidR="00A935D3" w:rsidRPr="00CF634B">
        <w:rPr>
          <w:rFonts w:asciiTheme="minorHAnsi" w:hAnsiTheme="minorHAnsi"/>
          <w:b/>
          <w:bCs/>
          <w:sz w:val="24"/>
          <w:szCs w:val="24"/>
        </w:rPr>
        <w:t>Proposed Rules, Chapter 570, Uniform Reporting System for Prescription Drug Price Data Sets</w:t>
      </w:r>
    </w:p>
    <w:p w14:paraId="43C89E31" w14:textId="77777777" w:rsidR="00A935D3" w:rsidRPr="00CF634B" w:rsidRDefault="00A935D3" w:rsidP="000A117D">
      <w:pPr>
        <w:pStyle w:val="ListParagraph"/>
        <w:ind w:left="0"/>
        <w:rPr>
          <w:rFonts w:asciiTheme="minorHAnsi" w:hAnsiTheme="minorHAnsi"/>
          <w:sz w:val="24"/>
          <w:szCs w:val="24"/>
        </w:rPr>
      </w:pPr>
      <w:r w:rsidRPr="00CF634B">
        <w:rPr>
          <w:rFonts w:asciiTheme="minorHAnsi" w:hAnsiTheme="minorHAnsi"/>
          <w:sz w:val="24"/>
          <w:szCs w:val="24"/>
        </w:rPr>
        <w:t>HDA believes that given the availability of [existing pricing] information to the state, it would be cumbersome and redundant to have it be reported again. We ask that the MHDO take these factors into consideration before requiring pricing component data to be reported by wholesale distributors.</w:t>
      </w:r>
    </w:p>
    <w:p w14:paraId="65AFFE05" w14:textId="69893A97" w:rsidR="007D5757" w:rsidRPr="00CF634B" w:rsidRDefault="007D5757" w:rsidP="000640E4">
      <w:pPr>
        <w:pStyle w:val="ListParagraph"/>
        <w:ind w:left="0"/>
        <w:jc w:val="both"/>
        <w:rPr>
          <w:rFonts w:asciiTheme="minorHAnsi" w:hAnsiTheme="minorHAnsi" w:cs="Arial"/>
          <w:b/>
          <w:sz w:val="24"/>
          <w:szCs w:val="24"/>
        </w:rPr>
      </w:pPr>
    </w:p>
    <w:p w14:paraId="717A2979" w14:textId="3DEA0A8D" w:rsidR="00EE73A5" w:rsidRDefault="00867CA7" w:rsidP="00EE73A5">
      <w:pPr>
        <w:pStyle w:val="ListParagraph"/>
        <w:ind w:left="0"/>
        <w:jc w:val="both"/>
        <w:rPr>
          <w:rFonts w:asciiTheme="minorHAnsi" w:hAnsiTheme="minorHAnsi"/>
          <w:sz w:val="24"/>
          <w:szCs w:val="24"/>
        </w:rPr>
      </w:pPr>
      <w:r w:rsidRPr="00CF634B">
        <w:rPr>
          <w:rFonts w:asciiTheme="minorHAnsi" w:hAnsiTheme="minorHAnsi" w:cs="Arial"/>
          <w:b/>
          <w:sz w:val="24"/>
          <w:szCs w:val="24"/>
        </w:rPr>
        <w:t>MHDO</w:t>
      </w:r>
      <w:r w:rsidR="00023874" w:rsidRPr="00CF634B">
        <w:rPr>
          <w:rFonts w:asciiTheme="minorHAnsi" w:hAnsiTheme="minorHAnsi" w:cs="Arial"/>
          <w:b/>
          <w:sz w:val="24"/>
          <w:szCs w:val="24"/>
        </w:rPr>
        <w:t xml:space="preserve"> Staff</w:t>
      </w:r>
      <w:r w:rsidRPr="00CF634B">
        <w:rPr>
          <w:rFonts w:asciiTheme="minorHAnsi" w:hAnsiTheme="minorHAnsi" w:cs="Arial"/>
          <w:b/>
          <w:sz w:val="24"/>
          <w:szCs w:val="24"/>
        </w:rPr>
        <w:t xml:space="preserve"> Response:  </w:t>
      </w:r>
      <w:r w:rsidR="00760586" w:rsidRPr="008D7AD2">
        <w:rPr>
          <w:rFonts w:asciiTheme="minorHAnsi" w:hAnsiTheme="minorHAnsi"/>
          <w:sz w:val="24"/>
          <w:szCs w:val="24"/>
        </w:rPr>
        <w:t>It is MHDO’s intent to focus the reporting by wholesale distributors and pharmacy benefit managers to the</w:t>
      </w:r>
      <w:r w:rsidR="00760586" w:rsidRPr="00F47794">
        <w:rPr>
          <w:rFonts w:asciiTheme="minorHAnsi" w:hAnsiTheme="minorHAnsi"/>
          <w:sz w:val="24"/>
          <w:szCs w:val="24"/>
        </w:rPr>
        <w:t xml:space="preserve"> top 25 most costly, most utilized and with the highest year over year increases as identified in the MHDO’s annual pharmacy report as required in </w:t>
      </w:r>
      <w:r w:rsidR="00760586" w:rsidRPr="008D7AD2">
        <w:rPr>
          <w:rFonts w:asciiTheme="minorHAnsi" w:hAnsiTheme="minorHAnsi"/>
          <w:sz w:val="24"/>
          <w:szCs w:val="24"/>
        </w:rPr>
        <w:t>§8712</w:t>
      </w:r>
      <w:r w:rsidR="00760586" w:rsidRPr="00CF634B">
        <w:rPr>
          <w:rFonts w:asciiTheme="minorHAnsi" w:hAnsiTheme="minorHAnsi"/>
          <w:sz w:val="24"/>
          <w:szCs w:val="24"/>
        </w:rPr>
        <w:t xml:space="preserve"> 5.</w:t>
      </w:r>
      <w:r w:rsidR="00274889">
        <w:rPr>
          <w:rFonts w:asciiTheme="minorHAnsi" w:hAnsiTheme="minorHAnsi"/>
          <w:sz w:val="24"/>
          <w:szCs w:val="24"/>
        </w:rPr>
        <w:t xml:space="preserve">  Pricing component data required by Wholesale Drug Distributors in Section 2(</w:t>
      </w:r>
      <w:r w:rsidR="00274889" w:rsidRPr="005B1EC6">
        <w:rPr>
          <w:rFonts w:asciiTheme="minorHAnsi" w:hAnsiTheme="minorHAnsi"/>
          <w:strike/>
          <w:sz w:val="24"/>
          <w:szCs w:val="24"/>
        </w:rPr>
        <w:t>I</w:t>
      </w:r>
      <w:r w:rsidR="005B1EC6" w:rsidRPr="005B1EC6">
        <w:rPr>
          <w:rFonts w:asciiTheme="minorHAnsi" w:hAnsiTheme="minorHAnsi"/>
          <w:sz w:val="24"/>
          <w:szCs w:val="24"/>
          <w:u w:val="single"/>
        </w:rPr>
        <w:t>J</w:t>
      </w:r>
      <w:proofErr w:type="gramStart"/>
      <w:r w:rsidR="00274889">
        <w:rPr>
          <w:rFonts w:asciiTheme="minorHAnsi" w:hAnsiTheme="minorHAnsi"/>
          <w:sz w:val="24"/>
          <w:szCs w:val="24"/>
        </w:rPr>
        <w:t>)(</w:t>
      </w:r>
      <w:proofErr w:type="gramEnd"/>
      <w:r w:rsidR="00274889">
        <w:rPr>
          <w:rFonts w:asciiTheme="minorHAnsi" w:hAnsiTheme="minorHAnsi"/>
          <w:sz w:val="24"/>
          <w:szCs w:val="24"/>
        </w:rPr>
        <w:t xml:space="preserve">3) seeks aggregate product acquisition volume and cost, rebate receivable and payable amounts, and sales volume and revenue amounts for each individual reporting entity during the calendar year.  These data values are not publicly available and are necessary to fulfill the requirements of </w:t>
      </w:r>
      <w:r w:rsidR="00274889" w:rsidRPr="008D7AD2">
        <w:rPr>
          <w:rFonts w:asciiTheme="minorHAnsi" w:hAnsiTheme="minorHAnsi"/>
          <w:sz w:val="24"/>
          <w:szCs w:val="24"/>
        </w:rPr>
        <w:t>§</w:t>
      </w:r>
      <w:r w:rsidR="00274889">
        <w:rPr>
          <w:rFonts w:asciiTheme="minorHAnsi" w:hAnsiTheme="minorHAnsi"/>
          <w:sz w:val="24"/>
          <w:szCs w:val="24"/>
        </w:rPr>
        <w:t>8736</w:t>
      </w:r>
      <w:r w:rsidR="0067088F">
        <w:rPr>
          <w:rFonts w:asciiTheme="minorHAnsi" w:hAnsiTheme="minorHAnsi"/>
          <w:sz w:val="24"/>
          <w:szCs w:val="24"/>
        </w:rPr>
        <w:t>; specifically, information developed from disclosures received on the major components of prescription drug pricing along the supply chai</w:t>
      </w:r>
      <w:r w:rsidR="0019316C" w:rsidRPr="00B470AC">
        <w:rPr>
          <w:rFonts w:asciiTheme="minorHAnsi" w:hAnsiTheme="minorHAnsi"/>
          <w:sz w:val="24"/>
          <w:szCs w:val="24"/>
        </w:rPr>
        <w:t>n.</w:t>
      </w:r>
    </w:p>
    <w:p w14:paraId="7466E405" w14:textId="77777777" w:rsidR="00EE73A5" w:rsidRDefault="00EE73A5" w:rsidP="00EE73A5">
      <w:pPr>
        <w:pStyle w:val="ListParagraph"/>
        <w:ind w:left="0"/>
        <w:jc w:val="both"/>
        <w:rPr>
          <w:rFonts w:asciiTheme="minorHAnsi" w:hAnsiTheme="minorHAnsi"/>
          <w:sz w:val="24"/>
          <w:szCs w:val="24"/>
        </w:rPr>
      </w:pPr>
    </w:p>
    <w:p w14:paraId="35011EB3" w14:textId="769605BC" w:rsidR="000A117D" w:rsidRPr="00EE73A5" w:rsidRDefault="00023874" w:rsidP="00EE73A5">
      <w:pPr>
        <w:pStyle w:val="ListParagraph"/>
        <w:ind w:left="0"/>
        <w:jc w:val="both"/>
        <w:rPr>
          <w:rFonts w:asciiTheme="minorHAnsi" w:hAnsiTheme="minorHAnsi" w:cs="Arial"/>
          <w:b/>
          <w:sz w:val="24"/>
          <w:szCs w:val="24"/>
        </w:rPr>
      </w:pPr>
      <w:r w:rsidRPr="00CF634B">
        <w:rPr>
          <w:rFonts w:asciiTheme="minorHAnsi" w:hAnsiTheme="minorHAnsi" w:cs="Arial"/>
          <w:b/>
          <w:sz w:val="24"/>
          <w:szCs w:val="24"/>
        </w:rPr>
        <w:t xml:space="preserve">Recommended </w:t>
      </w:r>
      <w:r w:rsidR="00867CA7" w:rsidRPr="00CF634B">
        <w:rPr>
          <w:rFonts w:asciiTheme="minorHAnsi" w:hAnsiTheme="minorHAnsi" w:cs="Arial"/>
          <w:b/>
          <w:sz w:val="24"/>
          <w:szCs w:val="24"/>
        </w:rPr>
        <w:t xml:space="preserve">Board Action:  </w:t>
      </w:r>
      <w:r w:rsidR="0067088F">
        <w:rPr>
          <w:rFonts w:asciiTheme="minorHAnsi" w:hAnsiTheme="minorHAnsi" w:cs="Arial"/>
          <w:sz w:val="24"/>
          <w:szCs w:val="24"/>
        </w:rPr>
        <w:t>No further action required.</w:t>
      </w:r>
    </w:p>
    <w:p w14:paraId="2F375F8C" w14:textId="77777777" w:rsidR="000A117D" w:rsidRDefault="000A117D" w:rsidP="000A117D">
      <w:pPr>
        <w:pStyle w:val="ListParagraph"/>
        <w:spacing w:after="0"/>
        <w:ind w:left="0"/>
        <w:jc w:val="both"/>
        <w:rPr>
          <w:rFonts w:asciiTheme="minorHAnsi" w:hAnsiTheme="minorHAnsi" w:cs="Arial"/>
          <w:sz w:val="24"/>
          <w:szCs w:val="24"/>
        </w:rPr>
      </w:pPr>
    </w:p>
    <w:p w14:paraId="77554565" w14:textId="142F4E7E" w:rsidR="008D4C63" w:rsidRPr="000A117D" w:rsidRDefault="000A117D" w:rsidP="000A117D">
      <w:pPr>
        <w:jc w:val="both"/>
        <w:rPr>
          <w:rFonts w:asciiTheme="minorHAnsi" w:hAnsiTheme="minorHAnsi" w:cs="Arial"/>
          <w:sz w:val="24"/>
          <w:szCs w:val="24"/>
        </w:rPr>
      </w:pPr>
      <w:r w:rsidRPr="000A117D">
        <w:rPr>
          <w:rFonts w:asciiTheme="minorHAnsi" w:hAnsiTheme="minorHAnsi" w:cs="Arial"/>
          <w:b/>
          <w:sz w:val="28"/>
          <w:szCs w:val="28"/>
        </w:rPr>
        <w:t xml:space="preserve">5. </w:t>
      </w:r>
      <w:r w:rsidR="008D4C63" w:rsidRPr="000A117D">
        <w:rPr>
          <w:rFonts w:asciiTheme="minorHAnsi" w:hAnsiTheme="minorHAnsi" w:cs="Arial"/>
          <w:b/>
          <w:sz w:val="28"/>
          <w:szCs w:val="28"/>
        </w:rPr>
        <w:t xml:space="preserve">AARP </w:t>
      </w:r>
      <w:r w:rsidR="00A935D3" w:rsidRPr="000A117D">
        <w:rPr>
          <w:rFonts w:asciiTheme="minorHAnsi" w:hAnsiTheme="minorHAnsi" w:cs="Arial"/>
          <w:b/>
          <w:sz w:val="28"/>
          <w:szCs w:val="28"/>
        </w:rPr>
        <w:t>submitted the</w:t>
      </w:r>
      <w:r w:rsidR="008D4C63" w:rsidRPr="000A117D">
        <w:rPr>
          <w:rFonts w:asciiTheme="minorHAnsi" w:hAnsiTheme="minorHAnsi" w:cs="Arial"/>
          <w:b/>
          <w:sz w:val="28"/>
          <w:szCs w:val="28"/>
        </w:rPr>
        <w:t xml:space="preserve"> following comments:</w:t>
      </w:r>
    </w:p>
    <w:p w14:paraId="277285E3" w14:textId="77777777" w:rsidR="000640E4" w:rsidRPr="00CF634B" w:rsidRDefault="000640E4" w:rsidP="000640E4">
      <w:pPr>
        <w:ind w:left="360"/>
        <w:rPr>
          <w:rFonts w:asciiTheme="minorHAnsi" w:hAnsiTheme="minorHAnsi" w:cs="Arial"/>
          <w:b/>
          <w:sz w:val="24"/>
          <w:szCs w:val="24"/>
        </w:rPr>
      </w:pPr>
    </w:p>
    <w:p w14:paraId="0CE07E4B" w14:textId="06F1318D" w:rsidR="00F33ED0" w:rsidRPr="00CF634B" w:rsidRDefault="00A935D3" w:rsidP="00F33ED0">
      <w:pPr>
        <w:rPr>
          <w:rFonts w:asciiTheme="minorHAnsi" w:hAnsiTheme="minorHAnsi" w:cs="Arial"/>
          <w:sz w:val="24"/>
          <w:szCs w:val="24"/>
        </w:rPr>
      </w:pPr>
      <w:r w:rsidRPr="00CF634B">
        <w:rPr>
          <w:rFonts w:asciiTheme="minorHAnsi" w:hAnsiTheme="minorHAnsi" w:cs="Arial"/>
          <w:b/>
          <w:sz w:val="24"/>
          <w:szCs w:val="24"/>
        </w:rPr>
        <w:t>Comment-</w:t>
      </w:r>
      <w:r w:rsidR="00F33ED0" w:rsidRPr="00CF634B">
        <w:rPr>
          <w:rFonts w:asciiTheme="minorHAnsi" w:hAnsiTheme="minorHAnsi" w:cs="Arial"/>
          <w:b/>
          <w:sz w:val="24"/>
          <w:szCs w:val="24"/>
        </w:rPr>
        <w:t>Section 2 (page 6)</w:t>
      </w:r>
      <w:r w:rsidR="00F33ED0" w:rsidRPr="00CF634B">
        <w:rPr>
          <w:rFonts w:asciiTheme="minorHAnsi" w:hAnsiTheme="minorHAnsi" w:cs="Arial"/>
          <w:sz w:val="24"/>
          <w:szCs w:val="24"/>
        </w:rPr>
        <w:t xml:space="preserve"> </w:t>
      </w:r>
      <w:r w:rsidR="00F33ED0" w:rsidRPr="00CF634B">
        <w:rPr>
          <w:rFonts w:asciiTheme="minorHAnsi" w:hAnsiTheme="minorHAnsi" w:cs="Arial"/>
          <w:b/>
          <w:sz w:val="24"/>
          <w:szCs w:val="24"/>
        </w:rPr>
        <w:t>“Baseline WAC Amount”</w:t>
      </w:r>
    </w:p>
    <w:p w14:paraId="1B59C569" w14:textId="4A1AB01F" w:rsidR="00F33ED0" w:rsidRPr="00CF634B" w:rsidRDefault="00F33ED0" w:rsidP="00F33ED0">
      <w:pPr>
        <w:rPr>
          <w:rFonts w:asciiTheme="minorHAnsi" w:hAnsiTheme="minorHAnsi" w:cs="Arial"/>
          <w:sz w:val="24"/>
          <w:szCs w:val="24"/>
        </w:rPr>
      </w:pPr>
      <w:r w:rsidRPr="00CF634B">
        <w:rPr>
          <w:rFonts w:asciiTheme="minorHAnsi" w:hAnsiTheme="minorHAnsi" w:cs="Arial"/>
          <w:sz w:val="24"/>
          <w:szCs w:val="24"/>
        </w:rPr>
        <w:t xml:space="preserve">The proposed rules contain the following definition for Baseline WAC Amount: “The wholesale acquisition cost of the drug product on the </w:t>
      </w:r>
      <w:r w:rsidRPr="00CF634B">
        <w:rPr>
          <w:rFonts w:asciiTheme="minorHAnsi" w:hAnsiTheme="minorHAnsi" w:cs="Arial"/>
          <w:sz w:val="24"/>
          <w:szCs w:val="24"/>
          <w:u w:val="single"/>
        </w:rPr>
        <w:t>later of the last day</w:t>
      </w:r>
      <w:r w:rsidRPr="00CF634B">
        <w:rPr>
          <w:rFonts w:asciiTheme="minorHAnsi" w:hAnsiTheme="minorHAnsi" w:cs="Arial"/>
          <w:sz w:val="24"/>
          <w:szCs w:val="24"/>
        </w:rPr>
        <w:t xml:space="preserve"> of the calendar year prior to the cost increase, the introduced to market date, or the acquisition date”.</w:t>
      </w:r>
    </w:p>
    <w:p w14:paraId="5DF70F88" w14:textId="77777777" w:rsidR="00F33ED0" w:rsidRPr="00CF634B" w:rsidRDefault="00F33ED0" w:rsidP="00F33ED0">
      <w:pPr>
        <w:rPr>
          <w:rFonts w:asciiTheme="minorHAnsi" w:hAnsiTheme="minorHAnsi" w:cs="Arial"/>
          <w:sz w:val="24"/>
          <w:szCs w:val="24"/>
        </w:rPr>
      </w:pPr>
    </w:p>
    <w:p w14:paraId="6A1BABB2" w14:textId="773E7920" w:rsidR="00F33ED0" w:rsidRDefault="00F33ED0" w:rsidP="00F33ED0">
      <w:pPr>
        <w:rPr>
          <w:rFonts w:asciiTheme="minorHAnsi" w:hAnsiTheme="minorHAnsi" w:cs="Arial"/>
          <w:sz w:val="24"/>
          <w:szCs w:val="24"/>
        </w:rPr>
      </w:pPr>
      <w:r w:rsidRPr="00CF634B">
        <w:rPr>
          <w:rFonts w:asciiTheme="minorHAnsi" w:hAnsiTheme="minorHAnsi" w:cs="Arial"/>
          <w:sz w:val="24"/>
          <w:szCs w:val="24"/>
        </w:rPr>
        <w:t>AARP urges MHDO to also request the wholesale acquisition cost at the earliest of these dates so MHDO may see how much the price has grown while it has been on the market.</w:t>
      </w:r>
    </w:p>
    <w:p w14:paraId="4C087F18" w14:textId="0FF8FFF2" w:rsidR="00801099" w:rsidRDefault="00801099" w:rsidP="00F33ED0">
      <w:pPr>
        <w:rPr>
          <w:rFonts w:asciiTheme="minorHAnsi" w:hAnsiTheme="minorHAnsi" w:cs="Arial"/>
          <w:sz w:val="24"/>
          <w:szCs w:val="24"/>
        </w:rPr>
      </w:pPr>
    </w:p>
    <w:p w14:paraId="16C44CAB" w14:textId="1F5E834A" w:rsidR="00801099" w:rsidRPr="00801099" w:rsidRDefault="00801099" w:rsidP="00801099">
      <w:pPr>
        <w:rPr>
          <w:rFonts w:asciiTheme="minorHAnsi" w:hAnsiTheme="minorHAnsi"/>
          <w:sz w:val="24"/>
          <w:szCs w:val="24"/>
        </w:rPr>
      </w:pPr>
      <w:r w:rsidRPr="00801099">
        <w:rPr>
          <w:rFonts w:asciiTheme="minorHAnsi" w:hAnsiTheme="minorHAnsi"/>
          <w:b/>
          <w:sz w:val="24"/>
          <w:szCs w:val="24"/>
        </w:rPr>
        <w:t xml:space="preserve">MHDO </w:t>
      </w:r>
      <w:r w:rsidR="00EE73A5">
        <w:rPr>
          <w:rFonts w:asciiTheme="minorHAnsi" w:hAnsiTheme="minorHAnsi"/>
          <w:b/>
          <w:sz w:val="24"/>
          <w:szCs w:val="24"/>
        </w:rPr>
        <w:t xml:space="preserve">Staff </w:t>
      </w:r>
      <w:r w:rsidRPr="00801099">
        <w:rPr>
          <w:rFonts w:asciiTheme="minorHAnsi" w:hAnsiTheme="minorHAnsi"/>
          <w:b/>
          <w:sz w:val="24"/>
          <w:szCs w:val="24"/>
        </w:rPr>
        <w:t>Response:</w:t>
      </w:r>
      <w:r w:rsidRPr="00801099">
        <w:rPr>
          <w:rFonts w:asciiTheme="minorHAnsi" w:hAnsiTheme="minorHAnsi"/>
          <w:sz w:val="24"/>
          <w:szCs w:val="24"/>
        </w:rPr>
        <w:t xml:space="preserve">  Section 8732 specifies that a manufacturer must provide notice when during the prior calendar year, the manufacturer increases the wholesale acquisition cost of a) a brand-name drug or, b) a generic drug with a wholesale acquisition cost of at least $10 per pricing unit, by more than 20% per pricing unit.  As defined, the Baseline WAC Amount provides insight to the WAC Amount value used by a manufacturer to determine the price increase percentage for which notice is provided.  </w:t>
      </w:r>
      <w:r>
        <w:rPr>
          <w:rFonts w:asciiTheme="minorHAnsi" w:hAnsiTheme="minorHAnsi"/>
          <w:sz w:val="24"/>
          <w:szCs w:val="24"/>
        </w:rPr>
        <w:t xml:space="preserve">MHDO will have access to the last 5 years of price increases through our data managers license with </w:t>
      </w:r>
      <w:proofErr w:type="spellStart"/>
      <w:r>
        <w:rPr>
          <w:rFonts w:asciiTheme="minorHAnsi" w:hAnsiTheme="minorHAnsi"/>
          <w:sz w:val="24"/>
          <w:szCs w:val="24"/>
        </w:rPr>
        <w:t>Analysource</w:t>
      </w:r>
      <w:proofErr w:type="spellEnd"/>
      <w:r>
        <w:rPr>
          <w:rFonts w:asciiTheme="minorHAnsi" w:hAnsiTheme="minorHAnsi"/>
          <w:sz w:val="24"/>
          <w:szCs w:val="24"/>
        </w:rPr>
        <w:t xml:space="preserve">.  MHDO will include information in its annual report on </w:t>
      </w:r>
      <w:r w:rsidR="00C82E4C">
        <w:rPr>
          <w:rFonts w:asciiTheme="minorHAnsi" w:hAnsiTheme="minorHAnsi"/>
          <w:sz w:val="24"/>
          <w:szCs w:val="24"/>
        </w:rPr>
        <w:t xml:space="preserve">increases in drug pricing over time.  </w:t>
      </w:r>
      <w:r w:rsidRPr="00801099">
        <w:rPr>
          <w:rFonts w:asciiTheme="minorHAnsi" w:hAnsiTheme="minorHAnsi"/>
          <w:sz w:val="24"/>
          <w:szCs w:val="24"/>
        </w:rPr>
        <w:t xml:space="preserve">The determination of how much the WAC amount per pricing unit has increased since a drug was introduced to market is not </w:t>
      </w:r>
      <w:r w:rsidR="00C82E4C">
        <w:rPr>
          <w:rFonts w:asciiTheme="minorHAnsi" w:hAnsiTheme="minorHAnsi"/>
          <w:sz w:val="24"/>
          <w:szCs w:val="24"/>
        </w:rPr>
        <w:t>a trigger or a requirement defined in Public Law Chapter 470.</w:t>
      </w:r>
    </w:p>
    <w:p w14:paraId="03BE0315" w14:textId="77777777" w:rsidR="00801099" w:rsidRPr="00801099" w:rsidRDefault="00801099" w:rsidP="00801099">
      <w:pPr>
        <w:rPr>
          <w:rFonts w:asciiTheme="minorHAnsi" w:hAnsiTheme="minorHAnsi"/>
          <w:sz w:val="24"/>
          <w:szCs w:val="24"/>
        </w:rPr>
      </w:pPr>
    </w:p>
    <w:p w14:paraId="2B88F0A1" w14:textId="51336271" w:rsidR="00801099" w:rsidRPr="00801099" w:rsidRDefault="00C82E4C" w:rsidP="00801099">
      <w:pPr>
        <w:rPr>
          <w:rFonts w:asciiTheme="minorHAnsi" w:hAnsiTheme="minorHAnsi"/>
          <w:sz w:val="24"/>
          <w:szCs w:val="24"/>
        </w:rPr>
      </w:pPr>
      <w:r>
        <w:rPr>
          <w:rFonts w:asciiTheme="minorHAnsi" w:hAnsiTheme="minorHAnsi"/>
          <w:b/>
          <w:sz w:val="24"/>
          <w:szCs w:val="24"/>
        </w:rPr>
        <w:t xml:space="preserve">Recommended </w:t>
      </w:r>
      <w:r w:rsidR="00801099" w:rsidRPr="00801099">
        <w:rPr>
          <w:rFonts w:asciiTheme="minorHAnsi" w:hAnsiTheme="minorHAnsi"/>
          <w:b/>
          <w:sz w:val="24"/>
          <w:szCs w:val="24"/>
        </w:rPr>
        <w:t>Board Action:</w:t>
      </w:r>
      <w:r w:rsidR="00801099" w:rsidRPr="00801099">
        <w:rPr>
          <w:rFonts w:asciiTheme="minorHAnsi" w:hAnsiTheme="minorHAnsi"/>
          <w:sz w:val="24"/>
          <w:szCs w:val="24"/>
        </w:rPr>
        <w:t xml:space="preserve">  No further action required.</w:t>
      </w:r>
    </w:p>
    <w:p w14:paraId="4296BCF5" w14:textId="2AC2E8D1" w:rsidR="00F33ED0" w:rsidRPr="00CF634B" w:rsidRDefault="00F33ED0" w:rsidP="00F33ED0">
      <w:pPr>
        <w:rPr>
          <w:rFonts w:asciiTheme="minorHAnsi" w:hAnsiTheme="minorHAnsi" w:cs="Arial"/>
          <w:sz w:val="24"/>
          <w:szCs w:val="24"/>
        </w:rPr>
      </w:pPr>
    </w:p>
    <w:p w14:paraId="2AA333F0" w14:textId="3CB1E415" w:rsidR="00F33ED0" w:rsidRPr="00CF634B" w:rsidRDefault="00F33ED0" w:rsidP="00F33ED0">
      <w:pPr>
        <w:rPr>
          <w:rFonts w:asciiTheme="minorHAnsi" w:hAnsiTheme="minorHAnsi" w:cs="Arial"/>
          <w:b/>
          <w:sz w:val="24"/>
          <w:szCs w:val="24"/>
        </w:rPr>
      </w:pPr>
      <w:r w:rsidRPr="00CF634B">
        <w:rPr>
          <w:rFonts w:asciiTheme="minorHAnsi" w:hAnsiTheme="minorHAnsi" w:cs="Arial"/>
          <w:b/>
          <w:sz w:val="24"/>
          <w:szCs w:val="24"/>
        </w:rPr>
        <w:t xml:space="preserve">Comment </w:t>
      </w:r>
      <w:r w:rsidR="00C86B80">
        <w:rPr>
          <w:rFonts w:asciiTheme="minorHAnsi" w:hAnsiTheme="minorHAnsi" w:cs="Arial"/>
          <w:b/>
          <w:sz w:val="24"/>
          <w:szCs w:val="24"/>
        </w:rPr>
        <w:t>-</w:t>
      </w:r>
      <w:r w:rsidRPr="00CF634B">
        <w:rPr>
          <w:rFonts w:asciiTheme="minorHAnsi" w:hAnsiTheme="minorHAnsi" w:cs="Arial"/>
          <w:b/>
          <w:sz w:val="24"/>
          <w:szCs w:val="24"/>
        </w:rPr>
        <w:t>Section 2 (page 6) “Cost Increase Factors”</w:t>
      </w:r>
    </w:p>
    <w:p w14:paraId="520C4E96" w14:textId="77777777" w:rsidR="00F33ED0" w:rsidRPr="00CF634B" w:rsidRDefault="00F33ED0" w:rsidP="00F33ED0">
      <w:pPr>
        <w:rPr>
          <w:rFonts w:asciiTheme="minorHAnsi" w:hAnsiTheme="minorHAnsi" w:cs="Arial"/>
          <w:sz w:val="24"/>
          <w:szCs w:val="24"/>
        </w:rPr>
      </w:pPr>
      <w:r w:rsidRPr="00CF634B">
        <w:rPr>
          <w:rFonts w:asciiTheme="minorHAnsi" w:hAnsiTheme="minorHAnsi" w:cs="Arial"/>
          <w:sz w:val="24"/>
          <w:szCs w:val="24"/>
        </w:rPr>
        <w:t>It is unclear if the cost increase listed in Section 2 requires a reporting narrative to explain the reasons for a cost increase. A simple selection of a reason without explanation will not provide sufficient information to allow the MHDO to understand factors that contribute to high drug costs, and subsequent identification of possible solutions to mitigate large price increases.</w:t>
      </w:r>
    </w:p>
    <w:p w14:paraId="3D2FA683" w14:textId="09AF462A" w:rsidR="00F33ED0" w:rsidRPr="00CF634B" w:rsidRDefault="00F33ED0" w:rsidP="00F33ED0">
      <w:pPr>
        <w:rPr>
          <w:rFonts w:asciiTheme="minorHAnsi" w:hAnsiTheme="minorHAnsi" w:cs="Arial"/>
          <w:sz w:val="24"/>
          <w:szCs w:val="24"/>
        </w:rPr>
      </w:pPr>
      <w:r w:rsidRPr="00CF634B">
        <w:rPr>
          <w:rFonts w:asciiTheme="minorHAnsi" w:hAnsiTheme="minorHAnsi" w:cs="Arial"/>
          <w:sz w:val="24"/>
          <w:szCs w:val="24"/>
        </w:rPr>
        <w:t>AARP urges Maine to modify this section to read “Reasons and Explanations for WAC increase”, and provide a reporting mechanism for manufacturers to provide a detailed explanation of the elements that contributed to a price increase.</w:t>
      </w:r>
    </w:p>
    <w:p w14:paraId="2BEE7568" w14:textId="77777777" w:rsidR="007C7949" w:rsidRDefault="007C7949" w:rsidP="00C82E4C">
      <w:pPr>
        <w:rPr>
          <w:rFonts w:asciiTheme="minorHAnsi" w:hAnsiTheme="minorHAnsi"/>
          <w:b/>
          <w:sz w:val="24"/>
          <w:szCs w:val="24"/>
        </w:rPr>
      </w:pPr>
    </w:p>
    <w:p w14:paraId="25F37C08" w14:textId="1EFB5B68" w:rsidR="00C82E4C" w:rsidRPr="00727E23" w:rsidRDefault="00C82E4C" w:rsidP="00C82E4C">
      <w:pPr>
        <w:rPr>
          <w:rFonts w:asciiTheme="minorHAnsi" w:hAnsiTheme="minorHAnsi"/>
          <w:sz w:val="24"/>
          <w:szCs w:val="24"/>
        </w:rPr>
      </w:pPr>
      <w:r w:rsidRPr="00727E23">
        <w:rPr>
          <w:rFonts w:asciiTheme="minorHAnsi" w:hAnsiTheme="minorHAnsi"/>
          <w:b/>
          <w:sz w:val="24"/>
          <w:szCs w:val="24"/>
        </w:rPr>
        <w:t>MHDO Staff Response</w:t>
      </w:r>
      <w:r w:rsidRPr="00727E23">
        <w:rPr>
          <w:rFonts w:asciiTheme="minorHAnsi" w:hAnsiTheme="minorHAnsi"/>
          <w:sz w:val="24"/>
          <w:szCs w:val="24"/>
        </w:rPr>
        <w:t>:  Add an additional data element to all Reporting Specifications sections for General Comments.  This data element will provide reporting entities with the option to include additional narrative descriptive information related to data submissions including any additional reasons or explanations for the cost increase that they wish to provide.</w:t>
      </w:r>
    </w:p>
    <w:p w14:paraId="08E9F4DC" w14:textId="77777777" w:rsidR="00C82E4C" w:rsidRPr="00727E23" w:rsidRDefault="00C82E4C" w:rsidP="00C82E4C">
      <w:pPr>
        <w:rPr>
          <w:rFonts w:asciiTheme="minorHAnsi" w:hAnsiTheme="minorHAnsi"/>
          <w:sz w:val="24"/>
          <w:szCs w:val="24"/>
        </w:rPr>
      </w:pPr>
    </w:p>
    <w:p w14:paraId="223BFA5A" w14:textId="611BE549" w:rsidR="00EE73A5" w:rsidRPr="00EC6122" w:rsidRDefault="00C82E4C" w:rsidP="00EC6122">
      <w:pPr>
        <w:pStyle w:val="ListParagraph"/>
        <w:ind w:left="0"/>
        <w:jc w:val="both"/>
        <w:rPr>
          <w:rFonts w:asciiTheme="minorHAnsi" w:hAnsiTheme="minorHAnsi" w:cs="Arial"/>
          <w:b/>
          <w:sz w:val="24"/>
          <w:szCs w:val="24"/>
        </w:rPr>
      </w:pPr>
      <w:r w:rsidRPr="00727E23">
        <w:rPr>
          <w:rFonts w:asciiTheme="minorHAnsi" w:hAnsiTheme="minorHAnsi"/>
          <w:b/>
          <w:sz w:val="24"/>
          <w:szCs w:val="24"/>
        </w:rPr>
        <w:t>Recommended Board Action:</w:t>
      </w:r>
      <w:r w:rsidRPr="00727E23">
        <w:rPr>
          <w:rFonts w:asciiTheme="minorHAnsi" w:hAnsiTheme="minorHAnsi"/>
          <w:sz w:val="24"/>
          <w:szCs w:val="24"/>
        </w:rPr>
        <w:t xml:space="preserve">  Amend Sections 2(</w:t>
      </w:r>
      <w:r w:rsidRPr="00C07FB2">
        <w:rPr>
          <w:rFonts w:asciiTheme="minorHAnsi" w:hAnsiTheme="minorHAnsi"/>
          <w:strike/>
          <w:sz w:val="24"/>
          <w:szCs w:val="24"/>
        </w:rPr>
        <w:t>I</w:t>
      </w:r>
      <w:r w:rsidR="0055171F" w:rsidRPr="00C07FB2">
        <w:rPr>
          <w:rFonts w:asciiTheme="minorHAnsi" w:hAnsiTheme="minorHAnsi"/>
          <w:sz w:val="24"/>
          <w:szCs w:val="24"/>
          <w:u w:val="single"/>
        </w:rPr>
        <w:t>J</w:t>
      </w:r>
      <w:proofErr w:type="gramStart"/>
      <w:r w:rsidRPr="00727E23">
        <w:rPr>
          <w:rFonts w:asciiTheme="minorHAnsi" w:hAnsiTheme="minorHAnsi"/>
          <w:sz w:val="24"/>
          <w:szCs w:val="24"/>
        </w:rPr>
        <w:t>)(</w:t>
      </w:r>
      <w:proofErr w:type="gramEnd"/>
      <w:r w:rsidRPr="00727E23">
        <w:rPr>
          <w:rFonts w:asciiTheme="minorHAnsi" w:hAnsiTheme="minorHAnsi"/>
          <w:sz w:val="24"/>
          <w:szCs w:val="24"/>
        </w:rPr>
        <w:t>1), (2), (3), (4) to include an additional data element with Data Element Name “General Comments” and Description “Additional information related to the data submitted for this drug product, if applicable</w:t>
      </w:r>
      <w:r w:rsidR="00AB29AF" w:rsidRPr="00727E23">
        <w:rPr>
          <w:rFonts w:asciiTheme="minorHAnsi" w:hAnsiTheme="minorHAnsi"/>
          <w:sz w:val="24"/>
          <w:szCs w:val="24"/>
        </w:rPr>
        <w:t>”</w:t>
      </w:r>
      <w:r w:rsidRPr="00727E23">
        <w:rPr>
          <w:rFonts w:asciiTheme="minorHAnsi" w:hAnsiTheme="minorHAnsi"/>
          <w:sz w:val="24"/>
          <w:szCs w:val="24"/>
        </w:rPr>
        <w:t>.</w:t>
      </w:r>
    </w:p>
    <w:p w14:paraId="4365DDC8" w14:textId="07DF7299" w:rsidR="008D4C63" w:rsidRPr="007C7949" w:rsidRDefault="007C7949" w:rsidP="007C7949">
      <w:pPr>
        <w:rPr>
          <w:rFonts w:asciiTheme="minorHAnsi" w:hAnsiTheme="minorHAnsi" w:cs="Arial"/>
          <w:b/>
          <w:sz w:val="28"/>
          <w:szCs w:val="28"/>
        </w:rPr>
      </w:pPr>
      <w:r w:rsidRPr="007C7949">
        <w:rPr>
          <w:rFonts w:asciiTheme="minorHAnsi" w:hAnsiTheme="minorHAnsi" w:cs="Arial"/>
          <w:b/>
          <w:sz w:val="28"/>
          <w:szCs w:val="28"/>
        </w:rPr>
        <w:t>6.</w:t>
      </w:r>
      <w:r>
        <w:rPr>
          <w:rFonts w:asciiTheme="minorHAnsi" w:hAnsiTheme="minorHAnsi" w:cs="Arial"/>
          <w:b/>
          <w:sz w:val="28"/>
          <w:szCs w:val="28"/>
        </w:rPr>
        <w:t xml:space="preserve"> </w:t>
      </w:r>
      <w:r w:rsidRPr="007C7949">
        <w:rPr>
          <w:rFonts w:asciiTheme="minorHAnsi" w:hAnsiTheme="minorHAnsi" w:cs="Arial"/>
          <w:b/>
          <w:sz w:val="28"/>
          <w:szCs w:val="28"/>
        </w:rPr>
        <w:t xml:space="preserve"> </w:t>
      </w:r>
      <w:r w:rsidR="008D4C63" w:rsidRPr="007C7949">
        <w:rPr>
          <w:rFonts w:asciiTheme="minorHAnsi" w:hAnsiTheme="minorHAnsi" w:cs="Arial"/>
          <w:b/>
          <w:sz w:val="28"/>
          <w:szCs w:val="28"/>
        </w:rPr>
        <w:t xml:space="preserve">Consumers for Affordable Health Care </w:t>
      </w:r>
      <w:r w:rsidR="00A935D3" w:rsidRPr="007C7949">
        <w:rPr>
          <w:rFonts w:asciiTheme="minorHAnsi" w:hAnsiTheme="minorHAnsi" w:cs="Arial"/>
          <w:b/>
          <w:sz w:val="28"/>
          <w:szCs w:val="28"/>
        </w:rPr>
        <w:t>submitted the</w:t>
      </w:r>
      <w:r w:rsidR="008D4C63" w:rsidRPr="007C7949">
        <w:rPr>
          <w:rFonts w:asciiTheme="minorHAnsi" w:hAnsiTheme="minorHAnsi" w:cs="Arial"/>
          <w:b/>
          <w:sz w:val="28"/>
          <w:szCs w:val="28"/>
        </w:rPr>
        <w:t xml:space="preserve"> following comments:</w:t>
      </w:r>
    </w:p>
    <w:p w14:paraId="04FAD332" w14:textId="77777777" w:rsidR="007C7949" w:rsidRPr="00EC6122" w:rsidRDefault="007C7949" w:rsidP="007C7949">
      <w:pPr>
        <w:rPr>
          <w:rFonts w:asciiTheme="minorHAnsi" w:hAnsiTheme="minorHAnsi" w:cs="Arial"/>
          <w:b/>
          <w:sz w:val="24"/>
          <w:szCs w:val="24"/>
        </w:rPr>
      </w:pPr>
    </w:p>
    <w:p w14:paraId="173E84A4" w14:textId="68A45974" w:rsidR="00A732B5" w:rsidRPr="00CF634B" w:rsidRDefault="008D4C63" w:rsidP="00A732B5">
      <w:pPr>
        <w:rPr>
          <w:rFonts w:asciiTheme="minorHAnsi" w:hAnsiTheme="minorHAnsi" w:cstheme="minorHAnsi"/>
          <w:b/>
          <w:sz w:val="24"/>
          <w:szCs w:val="24"/>
        </w:rPr>
      </w:pPr>
      <w:r w:rsidRPr="00CF634B">
        <w:rPr>
          <w:rFonts w:asciiTheme="minorHAnsi" w:hAnsiTheme="minorHAnsi" w:cs="Arial"/>
          <w:b/>
          <w:sz w:val="24"/>
          <w:szCs w:val="24"/>
        </w:rPr>
        <w:t>Co</w:t>
      </w:r>
      <w:r w:rsidR="00A732B5" w:rsidRPr="00CF634B">
        <w:rPr>
          <w:rFonts w:asciiTheme="minorHAnsi" w:hAnsiTheme="minorHAnsi" w:cs="Arial"/>
          <w:b/>
          <w:sz w:val="24"/>
          <w:szCs w:val="24"/>
        </w:rPr>
        <w:t>mment</w:t>
      </w:r>
      <w:r w:rsidR="00C86B80">
        <w:rPr>
          <w:rFonts w:asciiTheme="minorHAnsi" w:hAnsiTheme="minorHAnsi" w:cs="Arial"/>
          <w:b/>
          <w:sz w:val="24"/>
          <w:szCs w:val="24"/>
        </w:rPr>
        <w:t>-</w:t>
      </w:r>
      <w:r w:rsidR="000640E4" w:rsidRPr="00CF634B">
        <w:rPr>
          <w:rFonts w:asciiTheme="minorHAnsi" w:hAnsiTheme="minorHAnsi" w:cs="Arial"/>
          <w:b/>
          <w:sz w:val="24"/>
          <w:szCs w:val="24"/>
        </w:rPr>
        <w:t xml:space="preserve"> </w:t>
      </w:r>
      <w:r w:rsidR="00A732B5" w:rsidRPr="00CF634B">
        <w:rPr>
          <w:rFonts w:asciiTheme="minorHAnsi" w:hAnsiTheme="minorHAnsi" w:cstheme="minorHAnsi"/>
          <w:b/>
          <w:sz w:val="24"/>
          <w:szCs w:val="24"/>
        </w:rPr>
        <w:t>Section 2(I)(2) Manufacturer Report for Price Increase</w:t>
      </w:r>
    </w:p>
    <w:p w14:paraId="43F2D666" w14:textId="5D37C8AE" w:rsidR="008D4C63" w:rsidRDefault="00F33ED0" w:rsidP="00F33ED0">
      <w:pPr>
        <w:rPr>
          <w:rFonts w:asciiTheme="minorHAnsi" w:hAnsiTheme="minorHAnsi" w:cs="Arial"/>
          <w:sz w:val="24"/>
          <w:szCs w:val="24"/>
        </w:rPr>
      </w:pPr>
      <w:r w:rsidRPr="00CF634B">
        <w:rPr>
          <w:rFonts w:asciiTheme="minorHAnsi" w:hAnsiTheme="minorHAnsi" w:cs="Arial"/>
          <w:sz w:val="24"/>
          <w:szCs w:val="24"/>
        </w:rPr>
        <w:t>We urge MHDO to require detailed information regarding the reason for a cost increase be included as part of the cost increase factor reporting requirements.  Requiring entities to select factors for increases without an explanation of those factors could be contrary to the intent of the law – that is to provide greater transparency (clarity) as to the reason drug prices/costs are increasing.  The provision of unambiguous information is critical to fully understanding factors contributing to cost increases and to the development of explicit steps that may be taken to address such factors.  Please include that details regarding this reporting requirement are required and include a mechanism for reporting detailed and clear explanation of the factors indicated as contributing to price increases.</w:t>
      </w:r>
    </w:p>
    <w:p w14:paraId="401A95F3" w14:textId="3200A6CF" w:rsidR="00C82E4C" w:rsidRDefault="00C82E4C" w:rsidP="00F33ED0">
      <w:pPr>
        <w:rPr>
          <w:rFonts w:asciiTheme="minorHAnsi" w:hAnsiTheme="minorHAnsi" w:cs="Arial"/>
          <w:sz w:val="24"/>
          <w:szCs w:val="24"/>
        </w:rPr>
      </w:pPr>
    </w:p>
    <w:p w14:paraId="1E4DEE4D" w14:textId="2F00F991" w:rsidR="00933CA8" w:rsidRPr="00933CA8" w:rsidRDefault="00933CA8" w:rsidP="00933CA8">
      <w:pPr>
        <w:rPr>
          <w:rFonts w:asciiTheme="minorHAnsi" w:hAnsiTheme="minorHAnsi"/>
          <w:sz w:val="24"/>
          <w:szCs w:val="24"/>
        </w:rPr>
      </w:pPr>
      <w:r w:rsidRPr="00933CA8">
        <w:rPr>
          <w:rFonts w:asciiTheme="minorHAnsi" w:hAnsiTheme="minorHAnsi"/>
          <w:b/>
          <w:sz w:val="24"/>
          <w:szCs w:val="24"/>
        </w:rPr>
        <w:t>MHDO Staff Response</w:t>
      </w:r>
      <w:r w:rsidRPr="00933CA8">
        <w:rPr>
          <w:rFonts w:asciiTheme="minorHAnsi" w:hAnsiTheme="minorHAnsi"/>
          <w:sz w:val="24"/>
          <w:szCs w:val="24"/>
        </w:rPr>
        <w:t>:  Add an additional data element to all Reporting Specifications sections for General Comments.  This data element will provide reporting entities with the option to include additional narrative descriptive information related to data submissions including any additional reasons or explanations for the cost increase that they wish to provide.</w:t>
      </w:r>
    </w:p>
    <w:p w14:paraId="2EBBC2A9" w14:textId="77777777" w:rsidR="00933CA8" w:rsidRPr="00933CA8" w:rsidRDefault="00933CA8" w:rsidP="00933CA8">
      <w:pPr>
        <w:rPr>
          <w:rFonts w:asciiTheme="minorHAnsi" w:hAnsiTheme="minorHAnsi"/>
          <w:sz w:val="24"/>
          <w:szCs w:val="24"/>
        </w:rPr>
      </w:pPr>
    </w:p>
    <w:p w14:paraId="74279A31" w14:textId="27FC230B" w:rsidR="00933CA8" w:rsidRPr="00933CA8" w:rsidRDefault="00933CA8" w:rsidP="00933CA8">
      <w:pPr>
        <w:rPr>
          <w:rFonts w:asciiTheme="minorHAnsi" w:hAnsiTheme="minorHAnsi"/>
          <w:sz w:val="24"/>
          <w:szCs w:val="24"/>
        </w:rPr>
      </w:pPr>
      <w:r w:rsidRPr="00933CA8">
        <w:rPr>
          <w:rFonts w:asciiTheme="minorHAnsi" w:hAnsiTheme="minorHAnsi"/>
          <w:b/>
          <w:sz w:val="24"/>
          <w:szCs w:val="24"/>
        </w:rPr>
        <w:t>Recommended Board Action</w:t>
      </w:r>
      <w:r w:rsidRPr="00933CA8">
        <w:rPr>
          <w:rFonts w:asciiTheme="minorHAnsi" w:hAnsiTheme="minorHAnsi"/>
          <w:sz w:val="24"/>
          <w:szCs w:val="24"/>
        </w:rPr>
        <w:t>:  Amend Sections 2(</w:t>
      </w:r>
      <w:r w:rsidRPr="00C003D1">
        <w:rPr>
          <w:rFonts w:asciiTheme="minorHAnsi" w:hAnsiTheme="minorHAnsi"/>
          <w:strike/>
          <w:sz w:val="24"/>
          <w:szCs w:val="24"/>
        </w:rPr>
        <w:t>I</w:t>
      </w:r>
      <w:r w:rsidR="00A82FE4" w:rsidRPr="00C003D1">
        <w:rPr>
          <w:rFonts w:asciiTheme="minorHAnsi" w:hAnsiTheme="minorHAnsi"/>
          <w:sz w:val="24"/>
          <w:szCs w:val="24"/>
          <w:u w:val="single"/>
        </w:rPr>
        <w:t>J</w:t>
      </w:r>
      <w:proofErr w:type="gramStart"/>
      <w:r w:rsidRPr="00933CA8">
        <w:rPr>
          <w:rFonts w:asciiTheme="minorHAnsi" w:hAnsiTheme="minorHAnsi"/>
          <w:sz w:val="24"/>
          <w:szCs w:val="24"/>
        </w:rPr>
        <w:t>)(</w:t>
      </w:r>
      <w:proofErr w:type="gramEnd"/>
      <w:r w:rsidRPr="00933CA8">
        <w:rPr>
          <w:rFonts w:asciiTheme="minorHAnsi" w:hAnsiTheme="minorHAnsi"/>
          <w:sz w:val="24"/>
          <w:szCs w:val="24"/>
        </w:rPr>
        <w:t>1), (2), (3), (4) to include an additional data element with Data Element Name “General Comments” and Description “Additional information related to the data submitted for this drug product, if applicable.”</w:t>
      </w:r>
    </w:p>
    <w:p w14:paraId="0E6BA852" w14:textId="08B25B92" w:rsidR="00C82E4C" w:rsidRPr="00933CA8" w:rsidRDefault="00C82E4C" w:rsidP="00933CA8">
      <w:pPr>
        <w:rPr>
          <w:rFonts w:asciiTheme="minorHAnsi" w:hAnsiTheme="minorHAnsi"/>
          <w:sz w:val="24"/>
          <w:szCs w:val="24"/>
        </w:rPr>
      </w:pPr>
    </w:p>
    <w:p w14:paraId="3448C908" w14:textId="625EFC93" w:rsidR="00933CA8" w:rsidRPr="00933CA8" w:rsidRDefault="00933CA8" w:rsidP="00933CA8">
      <w:pPr>
        <w:rPr>
          <w:rFonts w:asciiTheme="minorHAnsi" w:hAnsiTheme="minorHAnsi"/>
          <w:b/>
          <w:sz w:val="24"/>
          <w:szCs w:val="24"/>
        </w:rPr>
      </w:pPr>
      <w:r w:rsidRPr="00933CA8">
        <w:rPr>
          <w:rFonts w:asciiTheme="minorHAnsi" w:hAnsiTheme="minorHAnsi"/>
          <w:b/>
          <w:sz w:val="24"/>
          <w:szCs w:val="24"/>
        </w:rPr>
        <w:t xml:space="preserve">Comment-Section 5 - Extensions to Data Submission Requirements </w:t>
      </w:r>
    </w:p>
    <w:p w14:paraId="6755005C" w14:textId="58F1A789" w:rsidR="00933CA8" w:rsidRPr="00933CA8" w:rsidRDefault="00933CA8" w:rsidP="00933CA8">
      <w:pPr>
        <w:rPr>
          <w:rFonts w:asciiTheme="minorHAnsi" w:hAnsiTheme="minorHAnsi"/>
          <w:sz w:val="24"/>
          <w:szCs w:val="24"/>
        </w:rPr>
      </w:pPr>
      <w:r w:rsidRPr="00933CA8">
        <w:rPr>
          <w:rFonts w:asciiTheme="minorHAnsi" w:hAnsiTheme="minorHAnsi"/>
          <w:sz w:val="24"/>
          <w:szCs w:val="24"/>
        </w:rPr>
        <w:t xml:space="preserve">The proposed rules provide opportunity for reporting entities to request an extension of reporting requirements if the entity is temporarily unable to meet the terms and conditions of the rules “due to circumstances beyond its control.” The proposed rules </w:t>
      </w:r>
      <w:r w:rsidR="00E97A04">
        <w:rPr>
          <w:rFonts w:asciiTheme="minorHAnsi" w:hAnsiTheme="minorHAnsi"/>
          <w:sz w:val="24"/>
          <w:szCs w:val="24"/>
        </w:rPr>
        <w:t>do</w:t>
      </w:r>
      <w:r w:rsidRPr="00933CA8">
        <w:rPr>
          <w:rFonts w:asciiTheme="minorHAnsi" w:hAnsiTheme="minorHAnsi"/>
          <w:sz w:val="24"/>
          <w:szCs w:val="24"/>
        </w:rPr>
        <w:t xml:space="preserve"> not specify what action MHDO will take in response to such a request or how it will respond to requests that are not sincere in nature regarding circumstances that may be out of an entity’s control. We urge MHDO to be more specific in terms of how it will respond to such requests including requests for which a reporting entity </w:t>
      </w:r>
      <w:proofErr w:type="gramStart"/>
      <w:r w:rsidRPr="00933CA8">
        <w:rPr>
          <w:rFonts w:asciiTheme="minorHAnsi" w:hAnsiTheme="minorHAnsi"/>
          <w:sz w:val="24"/>
          <w:szCs w:val="24"/>
        </w:rPr>
        <w:t>actually does</w:t>
      </w:r>
      <w:proofErr w:type="gramEnd"/>
      <w:r w:rsidRPr="00933CA8">
        <w:rPr>
          <w:rFonts w:asciiTheme="minorHAnsi" w:hAnsiTheme="minorHAnsi"/>
          <w:sz w:val="24"/>
          <w:szCs w:val="24"/>
        </w:rPr>
        <w:t xml:space="preserve"> have control over but may, perhaps, instead be unnecessarily working to delay the submission of the required data.</w:t>
      </w:r>
    </w:p>
    <w:p w14:paraId="42FBBC10" w14:textId="77777777" w:rsidR="00933CA8" w:rsidRPr="00933CA8" w:rsidRDefault="00933CA8" w:rsidP="00933CA8">
      <w:pPr>
        <w:rPr>
          <w:rFonts w:asciiTheme="minorHAnsi" w:hAnsiTheme="minorHAnsi"/>
          <w:sz w:val="24"/>
          <w:szCs w:val="24"/>
        </w:rPr>
      </w:pPr>
    </w:p>
    <w:p w14:paraId="0679693E" w14:textId="1F044AB2" w:rsidR="00BC36E8" w:rsidRPr="00BC36E8" w:rsidRDefault="00933CA8" w:rsidP="00BC36E8">
      <w:pPr>
        <w:rPr>
          <w:rFonts w:asciiTheme="minorHAnsi" w:hAnsiTheme="minorHAnsi"/>
          <w:b/>
          <w:sz w:val="24"/>
          <w:szCs w:val="24"/>
        </w:rPr>
      </w:pPr>
      <w:r w:rsidRPr="00BC36E8">
        <w:rPr>
          <w:rFonts w:asciiTheme="minorHAnsi" w:hAnsiTheme="minorHAnsi"/>
          <w:b/>
          <w:sz w:val="24"/>
          <w:szCs w:val="24"/>
        </w:rPr>
        <w:t xml:space="preserve">MHDO </w:t>
      </w:r>
      <w:r w:rsidR="00E97A04" w:rsidRPr="00BC36E8">
        <w:rPr>
          <w:rFonts w:asciiTheme="minorHAnsi" w:hAnsiTheme="minorHAnsi"/>
          <w:b/>
          <w:sz w:val="24"/>
          <w:szCs w:val="24"/>
        </w:rPr>
        <w:t>Staff Response:</w:t>
      </w:r>
      <w:r w:rsidR="00BC36E8">
        <w:rPr>
          <w:rFonts w:asciiTheme="minorHAnsi" w:hAnsiTheme="minorHAnsi"/>
          <w:b/>
          <w:sz w:val="24"/>
          <w:szCs w:val="24"/>
        </w:rPr>
        <w:t xml:space="preserve">  </w:t>
      </w:r>
      <w:r w:rsidR="00BC36E8" w:rsidRPr="00BC36E8">
        <w:rPr>
          <w:rFonts w:asciiTheme="minorHAnsi" w:hAnsiTheme="minorHAnsi"/>
          <w:sz w:val="24"/>
          <w:szCs w:val="24"/>
        </w:rPr>
        <w:t xml:space="preserve">Similar language is included in the uniform reporting systems for hospital inpatient/outpatient data sets (Maine Rule 90-590 Chapter 241) and health care claims data sets (Maine Rule 90-590 Chapter 243). </w:t>
      </w:r>
      <w:r w:rsidR="007A3790">
        <w:rPr>
          <w:rFonts w:asciiTheme="minorHAnsi" w:hAnsiTheme="minorHAnsi"/>
          <w:sz w:val="24"/>
          <w:szCs w:val="24"/>
        </w:rPr>
        <w:t xml:space="preserve">Our experience over the last ten years working with reporting entities is that they do not </w:t>
      </w:r>
      <w:r w:rsidR="005B1EC6" w:rsidRPr="008C555F">
        <w:rPr>
          <w:rFonts w:asciiTheme="minorHAnsi" w:hAnsiTheme="minorHAnsi"/>
          <w:sz w:val="24"/>
          <w:szCs w:val="24"/>
        </w:rPr>
        <w:t>abuse</w:t>
      </w:r>
      <w:r w:rsidR="007A3790">
        <w:rPr>
          <w:rFonts w:asciiTheme="minorHAnsi" w:hAnsiTheme="minorHAnsi"/>
          <w:sz w:val="24"/>
          <w:szCs w:val="24"/>
        </w:rPr>
        <w:t xml:space="preserve"> of the</w:t>
      </w:r>
      <w:r w:rsidR="00BC36E8" w:rsidRPr="00BC36E8">
        <w:rPr>
          <w:rFonts w:asciiTheme="minorHAnsi" w:hAnsiTheme="minorHAnsi"/>
          <w:sz w:val="24"/>
          <w:szCs w:val="24"/>
        </w:rPr>
        <w:t xml:space="preserve"> </w:t>
      </w:r>
      <w:r w:rsidR="005B1EC6" w:rsidRPr="008C555F">
        <w:rPr>
          <w:rFonts w:asciiTheme="minorHAnsi" w:hAnsiTheme="minorHAnsi"/>
          <w:sz w:val="24"/>
          <w:szCs w:val="24"/>
        </w:rPr>
        <w:t>right</w:t>
      </w:r>
      <w:r w:rsidR="00BC36E8" w:rsidRPr="00BC36E8">
        <w:rPr>
          <w:rFonts w:asciiTheme="minorHAnsi" w:hAnsiTheme="minorHAnsi"/>
          <w:sz w:val="24"/>
          <w:szCs w:val="24"/>
        </w:rPr>
        <w:t xml:space="preserve"> to occasionally request an extension, when circumstances require</w:t>
      </w:r>
      <w:r w:rsidR="007A3790">
        <w:rPr>
          <w:rFonts w:asciiTheme="minorHAnsi" w:hAnsiTheme="minorHAnsi"/>
          <w:sz w:val="24"/>
          <w:szCs w:val="24"/>
        </w:rPr>
        <w:t xml:space="preserve"> one</w:t>
      </w:r>
      <w:r w:rsidR="00BC36E8" w:rsidRPr="00BC36E8">
        <w:rPr>
          <w:rFonts w:asciiTheme="minorHAnsi" w:hAnsiTheme="minorHAnsi"/>
          <w:sz w:val="24"/>
          <w:szCs w:val="24"/>
        </w:rPr>
        <w:t xml:space="preserve">. </w:t>
      </w:r>
      <w:r w:rsidR="007A3790">
        <w:rPr>
          <w:rFonts w:asciiTheme="minorHAnsi" w:hAnsiTheme="minorHAnsi"/>
          <w:sz w:val="24"/>
          <w:szCs w:val="24"/>
        </w:rPr>
        <w:t xml:space="preserve"> </w:t>
      </w:r>
      <w:r w:rsidR="00BC36E8" w:rsidRPr="00BC36E8">
        <w:rPr>
          <w:rFonts w:asciiTheme="minorHAnsi" w:hAnsiTheme="minorHAnsi"/>
          <w:sz w:val="24"/>
          <w:szCs w:val="24"/>
        </w:rPr>
        <w:t>Approval of reasonable extension requests ultimately leads to increased compliance and improved data quality without delaying MHDO reporting requirements or resorting prematurely to enforcement action. Finally, the MHDO is under no obligation to approve extension requests that are considered unreasonable or seek to avoid timely submission of compliant data.</w:t>
      </w:r>
    </w:p>
    <w:p w14:paraId="7AC7301C" w14:textId="77777777" w:rsidR="00BC36E8" w:rsidRPr="00BC36E8" w:rsidRDefault="00BC36E8" w:rsidP="00BC36E8">
      <w:pPr>
        <w:rPr>
          <w:rFonts w:asciiTheme="minorHAnsi" w:hAnsiTheme="minorHAnsi"/>
          <w:sz w:val="24"/>
          <w:szCs w:val="24"/>
        </w:rPr>
      </w:pPr>
    </w:p>
    <w:p w14:paraId="61159576" w14:textId="76C817A5" w:rsidR="00E97A04" w:rsidRPr="002143CA" w:rsidRDefault="00E97A04" w:rsidP="00933CA8">
      <w:pPr>
        <w:rPr>
          <w:rFonts w:asciiTheme="minorHAnsi" w:hAnsiTheme="minorHAnsi"/>
          <w:sz w:val="24"/>
          <w:szCs w:val="24"/>
        </w:rPr>
      </w:pPr>
      <w:r w:rsidRPr="00BC36E8">
        <w:rPr>
          <w:rFonts w:asciiTheme="minorHAnsi" w:hAnsiTheme="minorHAnsi"/>
          <w:b/>
          <w:sz w:val="24"/>
          <w:szCs w:val="24"/>
        </w:rPr>
        <w:t>Recommended Board Action</w:t>
      </w:r>
      <w:r w:rsidR="007A3790">
        <w:rPr>
          <w:rFonts w:asciiTheme="minorHAnsi" w:hAnsiTheme="minorHAnsi"/>
          <w:b/>
          <w:sz w:val="24"/>
          <w:szCs w:val="24"/>
        </w:rPr>
        <w:t xml:space="preserve">:  </w:t>
      </w:r>
      <w:r w:rsidR="007A3790" w:rsidRPr="002143CA">
        <w:rPr>
          <w:rFonts w:asciiTheme="minorHAnsi" w:hAnsiTheme="minorHAnsi"/>
          <w:sz w:val="24"/>
          <w:szCs w:val="24"/>
        </w:rPr>
        <w:t xml:space="preserve">Amend </w:t>
      </w:r>
      <w:r w:rsidR="002143CA">
        <w:rPr>
          <w:rFonts w:asciiTheme="minorHAnsi" w:hAnsiTheme="minorHAnsi"/>
          <w:sz w:val="24"/>
          <w:szCs w:val="24"/>
        </w:rPr>
        <w:t>Section</w:t>
      </w:r>
      <w:r w:rsidR="00C20E1F">
        <w:rPr>
          <w:rFonts w:asciiTheme="minorHAnsi" w:hAnsiTheme="minorHAnsi"/>
          <w:sz w:val="24"/>
          <w:szCs w:val="24"/>
        </w:rPr>
        <w:t>s</w:t>
      </w:r>
      <w:r w:rsidR="002143CA">
        <w:rPr>
          <w:rFonts w:asciiTheme="minorHAnsi" w:hAnsiTheme="minorHAnsi"/>
          <w:sz w:val="24"/>
          <w:szCs w:val="24"/>
        </w:rPr>
        <w:t xml:space="preserve"> </w:t>
      </w:r>
      <w:r w:rsidR="007A3790" w:rsidRPr="002143CA">
        <w:rPr>
          <w:rFonts w:asciiTheme="minorHAnsi" w:hAnsiTheme="minorHAnsi"/>
          <w:sz w:val="24"/>
          <w:szCs w:val="24"/>
        </w:rPr>
        <w:t>4</w:t>
      </w:r>
      <w:r w:rsidR="002143CA">
        <w:rPr>
          <w:rFonts w:asciiTheme="minorHAnsi" w:hAnsiTheme="minorHAnsi"/>
          <w:sz w:val="24"/>
          <w:szCs w:val="24"/>
        </w:rPr>
        <w:t xml:space="preserve">.C. </w:t>
      </w:r>
      <w:r w:rsidR="007A3790" w:rsidRPr="002143CA">
        <w:rPr>
          <w:rFonts w:asciiTheme="minorHAnsi" w:hAnsiTheme="minorHAnsi"/>
          <w:sz w:val="24"/>
          <w:szCs w:val="24"/>
        </w:rPr>
        <w:t>and 5 as follows:</w:t>
      </w:r>
    </w:p>
    <w:p w14:paraId="3D502B6C" w14:textId="77777777" w:rsidR="007A3790" w:rsidRDefault="007A3790" w:rsidP="007A3790">
      <w:pPr>
        <w:pStyle w:val="ListParagraph"/>
        <w:tabs>
          <w:tab w:val="left" w:pos="720"/>
          <w:tab w:val="left" w:pos="1440"/>
          <w:tab w:val="left" w:pos="2160"/>
          <w:tab w:val="left" w:pos="2880"/>
          <w:tab w:val="left" w:pos="3600"/>
          <w:tab w:val="left" w:pos="4320"/>
        </w:tabs>
        <w:spacing w:after="0" w:line="240" w:lineRule="auto"/>
        <w:ind w:left="1440"/>
        <w:contextualSpacing w:val="0"/>
        <w:rPr>
          <w:rFonts w:asciiTheme="minorHAnsi" w:hAnsiTheme="minorHAnsi"/>
          <w:b/>
          <w:sz w:val="24"/>
          <w:szCs w:val="24"/>
        </w:rPr>
      </w:pPr>
    </w:p>
    <w:p w14:paraId="1DF9A20E" w14:textId="436D138B" w:rsidR="007A3790" w:rsidRPr="00740BA5" w:rsidRDefault="00EC6DE1" w:rsidP="00EC6DE1">
      <w:pPr>
        <w:pStyle w:val="ListParagraph"/>
        <w:ind w:left="360"/>
        <w:rPr>
          <w:sz w:val="24"/>
          <w:szCs w:val="24"/>
          <w:u w:val="single"/>
        </w:rPr>
      </w:pPr>
      <w:r>
        <w:rPr>
          <w:b/>
          <w:sz w:val="24"/>
          <w:szCs w:val="24"/>
        </w:rPr>
        <w:t>4.</w:t>
      </w:r>
      <w:r w:rsidR="007A3790" w:rsidRPr="00740BA5">
        <w:rPr>
          <w:b/>
          <w:sz w:val="24"/>
          <w:szCs w:val="24"/>
        </w:rPr>
        <w:t>C.  Corrective action plan</w:t>
      </w:r>
      <w:r w:rsidR="007A3790" w:rsidRPr="00740BA5">
        <w:rPr>
          <w:sz w:val="24"/>
          <w:szCs w:val="24"/>
        </w:rPr>
        <w:t xml:space="preserve">. The MHDO may require a reporting entity to develop a corrective action plan to correct any deficiencies in compliance discovered during an audit. </w:t>
      </w:r>
      <w:r w:rsidR="007A3790" w:rsidRPr="00740BA5">
        <w:rPr>
          <w:sz w:val="24"/>
          <w:szCs w:val="24"/>
          <w:u w:val="single"/>
        </w:rPr>
        <w:t>The corrective action plan shall include, in writing: the specific requirement to be extended; an explanation of the cause; the methodology proposed to eliminate the necessity of the extension; and the time frame required to come into compliance.</w:t>
      </w:r>
    </w:p>
    <w:p w14:paraId="3FAFF5BF" w14:textId="77777777" w:rsidR="007A3790" w:rsidRPr="00740BA5" w:rsidRDefault="007A3790" w:rsidP="007A3790">
      <w:pPr>
        <w:pStyle w:val="ListParagraph"/>
        <w:rPr>
          <w:sz w:val="24"/>
          <w:szCs w:val="24"/>
          <w:u w:val="single"/>
        </w:rPr>
      </w:pPr>
    </w:p>
    <w:p w14:paraId="28C8A884" w14:textId="5845DF9D" w:rsidR="00933CA8" w:rsidRPr="00EC6DE1" w:rsidRDefault="00EC6DE1" w:rsidP="00EC6DE1">
      <w:pPr>
        <w:pStyle w:val="ListParagraph"/>
        <w:ind w:left="360"/>
        <w:rPr>
          <w:strike/>
          <w:sz w:val="24"/>
          <w:szCs w:val="24"/>
        </w:rPr>
      </w:pPr>
      <w:r w:rsidRPr="00EC6DE1">
        <w:rPr>
          <w:b/>
          <w:sz w:val="24"/>
          <w:szCs w:val="24"/>
        </w:rPr>
        <w:t>5</w:t>
      </w:r>
      <w:r w:rsidRPr="00B470AC">
        <w:rPr>
          <w:sz w:val="24"/>
          <w:szCs w:val="24"/>
        </w:rPr>
        <w:t xml:space="preserve">.  </w:t>
      </w:r>
      <w:r w:rsidR="00644511" w:rsidRPr="00B470AC">
        <w:rPr>
          <w:b/>
          <w:sz w:val="24"/>
          <w:szCs w:val="24"/>
        </w:rPr>
        <w:t>Extensions to Data Submission Requirements.</w:t>
      </w:r>
      <w:r w:rsidR="00644511" w:rsidRPr="00B470AC">
        <w:rPr>
          <w:sz w:val="24"/>
          <w:szCs w:val="24"/>
        </w:rPr>
        <w:t xml:space="preserve"> </w:t>
      </w:r>
      <w:r w:rsidR="007A3790" w:rsidRPr="00EC6DE1">
        <w:rPr>
          <w:sz w:val="24"/>
          <w:szCs w:val="24"/>
        </w:rPr>
        <w:t xml:space="preserve">If a reporting entity, due to circumstances beyond its control, is temporarily unable to meet the terms and conditions of this Chapter, a written request must be made to the Compliance Officer of the MHDO as soon as it is practicable after the reporting entity has determined that an extension is required. The written </w:t>
      </w:r>
      <w:r w:rsidR="007A3790" w:rsidRPr="00EC6DE1">
        <w:rPr>
          <w:sz w:val="24"/>
          <w:szCs w:val="24"/>
          <w:u w:val="single"/>
        </w:rPr>
        <w:t xml:space="preserve">extension </w:t>
      </w:r>
      <w:r w:rsidR="007A3790" w:rsidRPr="00EC6DE1">
        <w:rPr>
          <w:sz w:val="24"/>
          <w:szCs w:val="24"/>
        </w:rPr>
        <w:t xml:space="preserve">request shall </w:t>
      </w:r>
      <w:r w:rsidR="007A3790" w:rsidRPr="00991B5A">
        <w:rPr>
          <w:sz w:val="24"/>
          <w:szCs w:val="24"/>
          <w:u w:val="single"/>
        </w:rPr>
        <w:t>include the same elements as the corrective action plan in Section 4(C).</w:t>
      </w:r>
      <w:r w:rsidR="007A3790" w:rsidRPr="00EC6DE1">
        <w:rPr>
          <w:sz w:val="24"/>
          <w:szCs w:val="24"/>
        </w:rPr>
        <w:t xml:space="preserve"> </w:t>
      </w:r>
      <w:r w:rsidR="00526EEC" w:rsidRPr="00EC6DE1">
        <w:rPr>
          <w:strike/>
          <w:sz w:val="24"/>
          <w:szCs w:val="24"/>
        </w:rPr>
        <w:t>the specific requirement to be extended; an explanation of the cause; the methodology proposed to eliminate the necessity of the extension; and the time frame required to come into compliance.</w:t>
      </w:r>
    </w:p>
    <w:sectPr w:rsidR="00933CA8" w:rsidRPr="00EC6DE1" w:rsidSect="00C61212">
      <w:headerReference w:type="even" r:id="rId13"/>
      <w:headerReference w:type="default" r:id="rId14"/>
      <w:footerReference w:type="even" r:id="rId15"/>
      <w:footerReference w:type="default" r:id="rId16"/>
      <w:headerReference w:type="first" r:id="rId17"/>
      <w:pgSz w:w="12240" w:h="15840" w:code="1"/>
      <w:pgMar w:top="1440" w:right="1296" w:bottom="108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CF5B" w14:textId="77777777" w:rsidR="00CB1435" w:rsidRDefault="00CB1435">
      <w:r>
        <w:separator/>
      </w:r>
    </w:p>
  </w:endnote>
  <w:endnote w:type="continuationSeparator" w:id="0">
    <w:p w14:paraId="30009088" w14:textId="77777777" w:rsidR="00CB1435" w:rsidRDefault="00C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2D4" w14:textId="77777777" w:rsidR="00817D55" w:rsidRDefault="00817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817D55" w:rsidRDefault="00817D55">
    <w:pPr>
      <w:pStyle w:val="Footer"/>
      <w:ind w:right="360"/>
    </w:pPr>
  </w:p>
  <w:p w14:paraId="61759CDE" w14:textId="77777777" w:rsidR="00817D55" w:rsidRDefault="00817D55"/>
  <w:p w14:paraId="7B50B680" w14:textId="77777777" w:rsidR="00817D55" w:rsidRDefault="00817D55"/>
  <w:p w14:paraId="20354399" w14:textId="77777777" w:rsidR="00817D55" w:rsidRDefault="00817D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19906"/>
      <w:docPartObj>
        <w:docPartGallery w:val="Page Numbers (Bottom of Page)"/>
        <w:docPartUnique/>
      </w:docPartObj>
    </w:sdtPr>
    <w:sdtEndPr>
      <w:rPr>
        <w:noProof/>
      </w:rPr>
    </w:sdtEndPr>
    <w:sdtContent>
      <w:p w14:paraId="4739AD28" w14:textId="329F82CA" w:rsidR="00817D55" w:rsidRDefault="00817D55">
        <w:pPr>
          <w:pStyle w:val="Footer"/>
          <w:jc w:val="right"/>
        </w:pPr>
        <w:r>
          <w:t xml:space="preserve">Page </w:t>
        </w:r>
        <w:r>
          <w:fldChar w:fldCharType="begin"/>
        </w:r>
        <w:r>
          <w:instrText xml:space="preserve"> PAGE   \* MERGEFORMAT </w:instrText>
        </w:r>
        <w:r>
          <w:fldChar w:fldCharType="separate"/>
        </w:r>
        <w:r w:rsidR="009C579A">
          <w:rPr>
            <w:noProof/>
          </w:rPr>
          <w:t>19</w:t>
        </w:r>
        <w:r>
          <w:rPr>
            <w:noProof/>
          </w:rPr>
          <w:fldChar w:fldCharType="end"/>
        </w:r>
      </w:p>
    </w:sdtContent>
  </w:sdt>
  <w:p w14:paraId="29FF6EB3" w14:textId="7E6EBD2E" w:rsidR="00817D55" w:rsidRPr="004147C2" w:rsidRDefault="00817D55">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E05A9" w14:textId="77777777" w:rsidR="00CB1435" w:rsidRDefault="00CB1435">
      <w:r>
        <w:separator/>
      </w:r>
    </w:p>
  </w:footnote>
  <w:footnote w:type="continuationSeparator" w:id="0">
    <w:p w14:paraId="3A83B536" w14:textId="77777777" w:rsidR="00CB1435" w:rsidRDefault="00CB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A925" w14:textId="2EDF3651" w:rsidR="00526EEC" w:rsidRDefault="00526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169B" w14:textId="443386BC" w:rsidR="00526EEC" w:rsidRDefault="00526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D233" w14:textId="3D5988BB" w:rsidR="00817D55" w:rsidRDefault="00817D55"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FFB"/>
    <w:multiLevelType w:val="hybridMultilevel"/>
    <w:tmpl w:val="4A82EADE"/>
    <w:lvl w:ilvl="0" w:tplc="EBBE580A">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E3B98"/>
    <w:multiLevelType w:val="hybridMultilevel"/>
    <w:tmpl w:val="4238D8F2"/>
    <w:lvl w:ilvl="0" w:tplc="F30A605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52DB7"/>
    <w:multiLevelType w:val="hybridMultilevel"/>
    <w:tmpl w:val="6A64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F0B57"/>
    <w:multiLevelType w:val="hybridMultilevel"/>
    <w:tmpl w:val="BE0A271C"/>
    <w:lvl w:ilvl="0" w:tplc="A2E8256E">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6244B11"/>
    <w:multiLevelType w:val="hybridMultilevel"/>
    <w:tmpl w:val="BF5A8E26"/>
    <w:lvl w:ilvl="0" w:tplc="262CC2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36E7E"/>
    <w:multiLevelType w:val="hybridMultilevel"/>
    <w:tmpl w:val="9C68E01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93454"/>
    <w:multiLevelType w:val="hybridMultilevel"/>
    <w:tmpl w:val="5C9EA1F0"/>
    <w:lvl w:ilvl="0" w:tplc="77FA2560">
      <w:start w:val="1"/>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10" w15:restartNumberingAfterBreak="0">
    <w:nsid w:val="12592497"/>
    <w:multiLevelType w:val="hybridMultilevel"/>
    <w:tmpl w:val="830A878C"/>
    <w:lvl w:ilvl="0" w:tplc="6F743130">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58EE"/>
    <w:multiLevelType w:val="hybridMultilevel"/>
    <w:tmpl w:val="F2A070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4A520FF"/>
    <w:multiLevelType w:val="hybridMultilevel"/>
    <w:tmpl w:val="A1AE417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C4240"/>
    <w:multiLevelType w:val="hybridMultilevel"/>
    <w:tmpl w:val="DABC091E"/>
    <w:lvl w:ilvl="0" w:tplc="0CE28A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98F041C"/>
    <w:multiLevelType w:val="hybridMultilevel"/>
    <w:tmpl w:val="B26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4871DA"/>
    <w:multiLevelType w:val="hybridMultilevel"/>
    <w:tmpl w:val="4034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332FA"/>
    <w:multiLevelType w:val="hybridMultilevel"/>
    <w:tmpl w:val="3A44CCCC"/>
    <w:lvl w:ilvl="0" w:tplc="EDD24A0E">
      <w:start w:val="1"/>
      <w:numFmt w:val="upperRoman"/>
      <w:lvlText w:val="%1."/>
      <w:lvlJc w:val="right"/>
      <w:pPr>
        <w:ind w:left="-1800" w:hanging="360"/>
      </w:pPr>
      <w:rPr>
        <w:b/>
      </w:rPr>
    </w:lvl>
    <w:lvl w:ilvl="1" w:tplc="04090015">
      <w:start w:val="1"/>
      <w:numFmt w:val="upperLetter"/>
      <w:lvlText w:val="%2."/>
      <w:lvlJc w:val="left"/>
      <w:pPr>
        <w:ind w:left="-720" w:hanging="360"/>
      </w:pPr>
      <w:rPr>
        <w:b w:val="0"/>
      </w:rPr>
    </w:lvl>
    <w:lvl w:ilvl="2" w:tplc="0409001B">
      <w:start w:val="1"/>
      <w:numFmt w:val="lowerRoman"/>
      <w:lvlText w:val="%3."/>
      <w:lvlJc w:val="right"/>
      <w:pPr>
        <w:ind w:left="0" w:hanging="180"/>
      </w:pPr>
    </w:lvl>
    <w:lvl w:ilvl="3" w:tplc="2654BD20">
      <w:start w:val="1"/>
      <w:numFmt w:val="decimal"/>
      <w:lvlText w:val="%4."/>
      <w:lvlJc w:val="left"/>
      <w:pPr>
        <w:ind w:left="720" w:hanging="360"/>
      </w:pPr>
      <w:rPr>
        <w:rFonts w:hint="default"/>
      </w:r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8" w15:restartNumberingAfterBreak="0">
    <w:nsid w:val="33A1691E"/>
    <w:multiLevelType w:val="hybridMultilevel"/>
    <w:tmpl w:val="04BE3832"/>
    <w:lvl w:ilvl="0" w:tplc="69100544">
      <w:start w:val="1"/>
      <w:numFmt w:val="decimal"/>
      <w:lvlText w:val="%1."/>
      <w:lvlJc w:val="left"/>
      <w:pPr>
        <w:ind w:left="360" w:hanging="421"/>
      </w:pPr>
      <w:rPr>
        <w:rFonts w:ascii="Arial" w:eastAsia="Arial" w:hAnsi="Arial" w:hint="default"/>
        <w:spacing w:val="-6"/>
        <w:w w:val="102"/>
        <w:sz w:val="22"/>
        <w:szCs w:val="22"/>
      </w:rPr>
    </w:lvl>
    <w:lvl w:ilvl="1" w:tplc="4E42C65A">
      <w:start w:val="1"/>
      <w:numFmt w:val="bullet"/>
      <w:lvlText w:val="•"/>
      <w:lvlJc w:val="left"/>
      <w:pPr>
        <w:ind w:left="1230" w:hanging="421"/>
      </w:pPr>
      <w:rPr>
        <w:rFonts w:hint="default"/>
      </w:rPr>
    </w:lvl>
    <w:lvl w:ilvl="2" w:tplc="16AC181A">
      <w:start w:val="1"/>
      <w:numFmt w:val="bullet"/>
      <w:lvlText w:val="•"/>
      <w:lvlJc w:val="left"/>
      <w:pPr>
        <w:ind w:left="2100" w:hanging="421"/>
      </w:pPr>
      <w:rPr>
        <w:rFonts w:hint="default"/>
      </w:rPr>
    </w:lvl>
    <w:lvl w:ilvl="3" w:tplc="172C5B6E">
      <w:start w:val="1"/>
      <w:numFmt w:val="bullet"/>
      <w:lvlText w:val="•"/>
      <w:lvlJc w:val="left"/>
      <w:pPr>
        <w:ind w:left="2970" w:hanging="421"/>
      </w:pPr>
      <w:rPr>
        <w:rFonts w:hint="default"/>
      </w:rPr>
    </w:lvl>
    <w:lvl w:ilvl="4" w:tplc="FBBCE618">
      <w:start w:val="1"/>
      <w:numFmt w:val="bullet"/>
      <w:lvlText w:val="•"/>
      <w:lvlJc w:val="left"/>
      <w:pPr>
        <w:ind w:left="3840" w:hanging="421"/>
      </w:pPr>
      <w:rPr>
        <w:rFonts w:hint="default"/>
      </w:rPr>
    </w:lvl>
    <w:lvl w:ilvl="5" w:tplc="E1BEB77E">
      <w:start w:val="1"/>
      <w:numFmt w:val="bullet"/>
      <w:lvlText w:val="•"/>
      <w:lvlJc w:val="left"/>
      <w:pPr>
        <w:ind w:left="4710" w:hanging="421"/>
      </w:pPr>
      <w:rPr>
        <w:rFonts w:hint="default"/>
      </w:rPr>
    </w:lvl>
    <w:lvl w:ilvl="6" w:tplc="D2CEAB82">
      <w:start w:val="1"/>
      <w:numFmt w:val="bullet"/>
      <w:lvlText w:val="•"/>
      <w:lvlJc w:val="left"/>
      <w:pPr>
        <w:ind w:left="5580" w:hanging="421"/>
      </w:pPr>
      <w:rPr>
        <w:rFonts w:hint="default"/>
      </w:rPr>
    </w:lvl>
    <w:lvl w:ilvl="7" w:tplc="227684C8">
      <w:start w:val="1"/>
      <w:numFmt w:val="bullet"/>
      <w:lvlText w:val="•"/>
      <w:lvlJc w:val="left"/>
      <w:pPr>
        <w:ind w:left="6450" w:hanging="421"/>
      </w:pPr>
      <w:rPr>
        <w:rFonts w:hint="default"/>
      </w:rPr>
    </w:lvl>
    <w:lvl w:ilvl="8" w:tplc="8E6E9A42">
      <w:start w:val="1"/>
      <w:numFmt w:val="bullet"/>
      <w:lvlText w:val="•"/>
      <w:lvlJc w:val="left"/>
      <w:pPr>
        <w:ind w:left="7320" w:hanging="421"/>
      </w:pPr>
      <w:rPr>
        <w:rFonts w:hint="default"/>
      </w:rPr>
    </w:lvl>
  </w:abstractNum>
  <w:abstractNum w:abstractNumId="19" w15:restartNumberingAfterBreak="0">
    <w:nsid w:val="33B26CD3"/>
    <w:multiLevelType w:val="hybridMultilevel"/>
    <w:tmpl w:val="31C4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9A3FEA"/>
    <w:multiLevelType w:val="hybridMultilevel"/>
    <w:tmpl w:val="372ACB36"/>
    <w:lvl w:ilvl="0" w:tplc="6344C3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C08E5"/>
    <w:multiLevelType w:val="multilevel"/>
    <w:tmpl w:val="CD9C7D32"/>
    <w:lvl w:ilvl="0">
      <w:start w:val="1"/>
      <w:numFmt w:val="decimal"/>
      <w:lvlText w:val="%1-"/>
      <w:lvlJc w:val="left"/>
      <w:pPr>
        <w:ind w:left="405" w:hanging="405"/>
      </w:pPr>
      <w:rPr>
        <w:rFonts w:hint="default"/>
        <w:b w:val="0"/>
      </w:rPr>
    </w:lvl>
    <w:lvl w:ilvl="1">
      <w:start w:val="7"/>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2" w15:restartNumberingAfterBreak="0">
    <w:nsid w:val="39E36663"/>
    <w:multiLevelType w:val="multilevel"/>
    <w:tmpl w:val="84ECE9A0"/>
    <w:lvl w:ilvl="0">
      <w:start w:val="1"/>
      <w:numFmt w:val="decimal"/>
      <w:lvlText w:val="%1-"/>
      <w:lvlJc w:val="left"/>
      <w:pPr>
        <w:ind w:left="405" w:hanging="405"/>
      </w:pPr>
      <w:rPr>
        <w:rFonts w:hint="default"/>
        <w:b w:val="0"/>
      </w:rPr>
    </w:lvl>
    <w:lvl w:ilvl="1">
      <w:start w:val="6"/>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3" w15:restartNumberingAfterBreak="0">
    <w:nsid w:val="3B6E364C"/>
    <w:multiLevelType w:val="hybridMultilevel"/>
    <w:tmpl w:val="561C002E"/>
    <w:lvl w:ilvl="0" w:tplc="0409000F">
      <w:start w:val="1"/>
      <w:numFmt w:val="decimal"/>
      <w:lvlText w:val="%1."/>
      <w:lvlJc w:val="left"/>
      <w:pPr>
        <w:ind w:left="720" w:hanging="360"/>
      </w:pPr>
    </w:lvl>
    <w:lvl w:ilvl="1" w:tplc="52E21D9A">
      <w:start w:val="1"/>
      <w:numFmt w:val="upperLetter"/>
      <w:lvlText w:val="%2."/>
      <w:lvlJc w:val="left"/>
      <w:pPr>
        <w:ind w:left="63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12677"/>
    <w:multiLevelType w:val="hybridMultilevel"/>
    <w:tmpl w:val="61E03068"/>
    <w:lvl w:ilvl="0" w:tplc="58DAF6B0">
      <w:start w:val="2"/>
      <w:numFmt w:val="upperLetter"/>
      <w:lvlText w:val="%1)"/>
      <w:lvlJc w:val="left"/>
      <w:pPr>
        <w:tabs>
          <w:tab w:val="num" w:pos="1080"/>
        </w:tabs>
        <w:ind w:left="1080" w:hanging="360"/>
      </w:pPr>
      <w:rPr>
        <w:rFonts w:hint="default"/>
        <w:color w:val="FF0000"/>
        <w:sz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666E9F"/>
    <w:multiLevelType w:val="hybridMultilevel"/>
    <w:tmpl w:val="C3843778"/>
    <w:lvl w:ilvl="0" w:tplc="B79C83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FC7379"/>
    <w:multiLevelType w:val="hybridMultilevel"/>
    <w:tmpl w:val="9614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3F2D2E"/>
    <w:multiLevelType w:val="hybridMultilevel"/>
    <w:tmpl w:val="B1CA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D81E12"/>
    <w:multiLevelType w:val="hybridMultilevel"/>
    <w:tmpl w:val="2BD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781D"/>
    <w:multiLevelType w:val="hybridMultilevel"/>
    <w:tmpl w:val="2BAA685C"/>
    <w:lvl w:ilvl="0" w:tplc="0BFA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44288"/>
    <w:multiLevelType w:val="hybridMultilevel"/>
    <w:tmpl w:val="53CA02F0"/>
    <w:lvl w:ilvl="0" w:tplc="23A4CCC6">
      <w:start w:val="1"/>
      <w:numFmt w:val="decimal"/>
      <w:lvlText w:val="%1."/>
      <w:lvlJc w:val="left"/>
      <w:pPr>
        <w:ind w:left="2159" w:hanging="421"/>
      </w:pPr>
      <w:rPr>
        <w:rFonts w:ascii="Arial" w:eastAsia="Arial" w:hAnsi="Arial" w:hint="default"/>
        <w:spacing w:val="-6"/>
        <w:w w:val="102"/>
        <w:sz w:val="22"/>
        <w:szCs w:val="22"/>
      </w:rPr>
    </w:lvl>
    <w:lvl w:ilvl="1" w:tplc="77CA1E00">
      <w:start w:val="1"/>
      <w:numFmt w:val="bullet"/>
      <w:lvlText w:val="•"/>
      <w:lvlJc w:val="left"/>
      <w:pPr>
        <w:ind w:left="3029" w:hanging="421"/>
      </w:pPr>
      <w:rPr>
        <w:rFonts w:hint="default"/>
      </w:rPr>
    </w:lvl>
    <w:lvl w:ilvl="2" w:tplc="528E86F8">
      <w:start w:val="1"/>
      <w:numFmt w:val="bullet"/>
      <w:lvlText w:val="•"/>
      <w:lvlJc w:val="left"/>
      <w:pPr>
        <w:ind w:left="3899" w:hanging="421"/>
      </w:pPr>
      <w:rPr>
        <w:rFonts w:hint="default"/>
      </w:rPr>
    </w:lvl>
    <w:lvl w:ilvl="3" w:tplc="5B0EA6D0">
      <w:start w:val="1"/>
      <w:numFmt w:val="bullet"/>
      <w:lvlText w:val="•"/>
      <w:lvlJc w:val="left"/>
      <w:pPr>
        <w:ind w:left="4769" w:hanging="421"/>
      </w:pPr>
      <w:rPr>
        <w:rFonts w:hint="default"/>
      </w:rPr>
    </w:lvl>
    <w:lvl w:ilvl="4" w:tplc="1A14E040">
      <w:start w:val="1"/>
      <w:numFmt w:val="bullet"/>
      <w:lvlText w:val="•"/>
      <w:lvlJc w:val="left"/>
      <w:pPr>
        <w:ind w:left="5639" w:hanging="421"/>
      </w:pPr>
      <w:rPr>
        <w:rFonts w:hint="default"/>
      </w:rPr>
    </w:lvl>
    <w:lvl w:ilvl="5" w:tplc="7DFA5EF8">
      <w:start w:val="1"/>
      <w:numFmt w:val="bullet"/>
      <w:lvlText w:val="•"/>
      <w:lvlJc w:val="left"/>
      <w:pPr>
        <w:ind w:left="6509" w:hanging="421"/>
      </w:pPr>
      <w:rPr>
        <w:rFonts w:hint="default"/>
      </w:rPr>
    </w:lvl>
    <w:lvl w:ilvl="6" w:tplc="CEEE36B4">
      <w:start w:val="1"/>
      <w:numFmt w:val="bullet"/>
      <w:lvlText w:val="•"/>
      <w:lvlJc w:val="left"/>
      <w:pPr>
        <w:ind w:left="7379" w:hanging="421"/>
      </w:pPr>
      <w:rPr>
        <w:rFonts w:hint="default"/>
      </w:rPr>
    </w:lvl>
    <w:lvl w:ilvl="7" w:tplc="21063C76">
      <w:start w:val="1"/>
      <w:numFmt w:val="bullet"/>
      <w:lvlText w:val="•"/>
      <w:lvlJc w:val="left"/>
      <w:pPr>
        <w:ind w:left="8249" w:hanging="421"/>
      </w:pPr>
      <w:rPr>
        <w:rFonts w:hint="default"/>
      </w:rPr>
    </w:lvl>
    <w:lvl w:ilvl="8" w:tplc="DF569BE8">
      <w:start w:val="1"/>
      <w:numFmt w:val="bullet"/>
      <w:lvlText w:val="•"/>
      <w:lvlJc w:val="left"/>
      <w:pPr>
        <w:ind w:left="9119" w:hanging="421"/>
      </w:pPr>
      <w:rPr>
        <w:rFonts w:hint="default"/>
      </w:rPr>
    </w:lvl>
  </w:abstractNum>
  <w:abstractNum w:abstractNumId="32" w15:restartNumberingAfterBreak="0">
    <w:nsid w:val="5888119C"/>
    <w:multiLevelType w:val="hybridMultilevel"/>
    <w:tmpl w:val="F318A6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C1755"/>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505D1"/>
    <w:multiLevelType w:val="hybridMultilevel"/>
    <w:tmpl w:val="D9B2240A"/>
    <w:lvl w:ilvl="0" w:tplc="0D142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57B98"/>
    <w:multiLevelType w:val="hybridMultilevel"/>
    <w:tmpl w:val="9DD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FA9"/>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85796"/>
    <w:multiLevelType w:val="hybridMultilevel"/>
    <w:tmpl w:val="27345B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EA3023"/>
    <w:multiLevelType w:val="hybridMultilevel"/>
    <w:tmpl w:val="4C828CD8"/>
    <w:lvl w:ilvl="0" w:tplc="9748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720CB"/>
    <w:multiLevelType w:val="hybridMultilevel"/>
    <w:tmpl w:val="230E4D24"/>
    <w:lvl w:ilvl="0" w:tplc="2FA40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9536E"/>
    <w:multiLevelType w:val="hybridMultilevel"/>
    <w:tmpl w:val="E4867BE0"/>
    <w:lvl w:ilvl="0" w:tplc="B3C06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A25B2"/>
    <w:multiLevelType w:val="multilevel"/>
    <w:tmpl w:val="31C80B98"/>
    <w:lvl w:ilvl="0">
      <w:start w:val="1"/>
      <w:numFmt w:val="upperLetter"/>
      <w:lvlText w:val="%1."/>
      <w:lvlJc w:val="left"/>
      <w:pPr>
        <w:tabs>
          <w:tab w:val="num" w:pos="1080"/>
        </w:tabs>
        <w:ind w:left="10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43" w15:restartNumberingAfterBreak="0">
    <w:nsid w:val="7B8624BD"/>
    <w:multiLevelType w:val="hybridMultilevel"/>
    <w:tmpl w:val="C1F0AC26"/>
    <w:lvl w:ilvl="0" w:tplc="725CB094">
      <w:start w:val="3"/>
      <w:numFmt w:val="decimal"/>
      <w:lvlText w:val="%1."/>
      <w:lvlJc w:val="left"/>
      <w:pPr>
        <w:tabs>
          <w:tab w:val="num" w:pos="2160"/>
        </w:tabs>
        <w:ind w:left="2160" w:hanging="720"/>
      </w:pPr>
      <w:rPr>
        <w:rFonts w:hint="default"/>
      </w:rPr>
    </w:lvl>
    <w:lvl w:ilvl="1" w:tplc="5BB80BC8">
      <w:start w:val="1"/>
      <w:numFmt w:val="decimal"/>
      <w:lvlText w:val="%2)"/>
      <w:lvlJc w:val="left"/>
      <w:pPr>
        <w:tabs>
          <w:tab w:val="num" w:pos="2520"/>
        </w:tabs>
        <w:ind w:left="2520" w:hanging="360"/>
      </w:pPr>
      <w:rPr>
        <w:rFonts w:ascii="Arial" w:eastAsia="Times New Roman" w:hAnsi="Arial" w:cs="Times New Roman"/>
      </w:rPr>
    </w:lvl>
    <w:lvl w:ilvl="2" w:tplc="46185F76">
      <w:start w:val="1"/>
      <w:numFmt w:val="upperLetter"/>
      <w:lvlText w:val="%3."/>
      <w:lvlJc w:val="left"/>
      <w:pPr>
        <w:tabs>
          <w:tab w:val="num" w:pos="3420"/>
        </w:tabs>
        <w:ind w:left="3420" w:hanging="360"/>
      </w:pPr>
      <w:rPr>
        <w:rFonts w:hint="default"/>
      </w:rPr>
    </w:lvl>
    <w:lvl w:ilvl="3" w:tplc="C1D472D8">
      <w:start w:val="1"/>
      <w:numFmt w:val="upp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BBE7BD3"/>
    <w:multiLevelType w:val="hybridMultilevel"/>
    <w:tmpl w:val="CCAEC14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24"/>
  </w:num>
  <w:num w:numId="3">
    <w:abstractNumId w:val="13"/>
  </w:num>
  <w:num w:numId="4">
    <w:abstractNumId w:val="8"/>
  </w:num>
  <w:num w:numId="5">
    <w:abstractNumId w:val="41"/>
  </w:num>
  <w:num w:numId="6">
    <w:abstractNumId w:val="28"/>
  </w:num>
  <w:num w:numId="7">
    <w:abstractNumId w:val="11"/>
  </w:num>
  <w:num w:numId="8">
    <w:abstractNumId w:val="44"/>
  </w:num>
  <w:num w:numId="9">
    <w:abstractNumId w:val="37"/>
  </w:num>
  <w:num w:numId="10">
    <w:abstractNumId w:val="22"/>
  </w:num>
  <w:num w:numId="11">
    <w:abstractNumId w:val="21"/>
  </w:num>
  <w:num w:numId="12">
    <w:abstractNumId w:val="30"/>
  </w:num>
  <w:num w:numId="13">
    <w:abstractNumId w:val="32"/>
  </w:num>
  <w:num w:numId="14">
    <w:abstractNumId w:val="29"/>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39"/>
  </w:num>
  <w:num w:numId="19">
    <w:abstractNumId w:val="19"/>
  </w:num>
  <w:num w:numId="20">
    <w:abstractNumId w:val="26"/>
  </w:num>
  <w:num w:numId="21">
    <w:abstractNumId w:val="35"/>
  </w:num>
  <w:num w:numId="22">
    <w:abstractNumId w:val="1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5"/>
  </w:num>
  <w:num w:numId="26">
    <w:abstractNumId w:val="1"/>
  </w:num>
  <w:num w:numId="27">
    <w:abstractNumId w:val="7"/>
    <w:lvlOverride w:ilvl="0">
      <w:startOverride w:val="1"/>
    </w:lvlOverride>
  </w:num>
  <w:num w:numId="28">
    <w:abstractNumId w:val="34"/>
  </w:num>
  <w:num w:numId="29">
    <w:abstractNumId w:val="12"/>
  </w:num>
  <w:num w:numId="30">
    <w:abstractNumId w:val="16"/>
  </w:num>
  <w:num w:numId="31">
    <w:abstractNumId w:val="38"/>
  </w:num>
  <w:num w:numId="32">
    <w:abstractNumId w:val="40"/>
  </w:num>
  <w:num w:numId="33">
    <w:abstractNumId w:val="0"/>
  </w:num>
  <w:num w:numId="34">
    <w:abstractNumId w:val="20"/>
  </w:num>
  <w:num w:numId="35">
    <w:abstractNumId w:val="17"/>
  </w:num>
  <w:num w:numId="36">
    <w:abstractNumId w:val="33"/>
  </w:num>
  <w:num w:numId="37">
    <w:abstractNumId w:val="36"/>
  </w:num>
  <w:num w:numId="38">
    <w:abstractNumId w:val="5"/>
  </w:num>
  <w:num w:numId="39">
    <w:abstractNumId w:val="18"/>
  </w:num>
  <w:num w:numId="40">
    <w:abstractNumId w:val="31"/>
  </w:num>
  <w:num w:numId="41">
    <w:abstractNumId w:val="10"/>
  </w:num>
  <w:num w:numId="42">
    <w:abstractNumId w:val="4"/>
  </w:num>
  <w:num w:numId="43">
    <w:abstractNumId w:val="6"/>
  </w:num>
  <w:num w:numId="44">
    <w:abstractNumId w:val="23"/>
  </w:num>
  <w:num w:numId="45">
    <w:abstractNumId w:val="2"/>
  </w:num>
  <w:num w:numId="46">
    <w:abstractNumId w:val="1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F"/>
    <w:rsid w:val="00000F59"/>
    <w:rsid w:val="000035CD"/>
    <w:rsid w:val="00004E53"/>
    <w:rsid w:val="00005985"/>
    <w:rsid w:val="00005A42"/>
    <w:rsid w:val="0000752C"/>
    <w:rsid w:val="000075E8"/>
    <w:rsid w:val="000105AA"/>
    <w:rsid w:val="00011ABF"/>
    <w:rsid w:val="00011D04"/>
    <w:rsid w:val="00022381"/>
    <w:rsid w:val="00022635"/>
    <w:rsid w:val="00023874"/>
    <w:rsid w:val="00027F13"/>
    <w:rsid w:val="00035F80"/>
    <w:rsid w:val="00036078"/>
    <w:rsid w:val="00044077"/>
    <w:rsid w:val="00047029"/>
    <w:rsid w:val="000502BF"/>
    <w:rsid w:val="00051393"/>
    <w:rsid w:val="00052A76"/>
    <w:rsid w:val="00054B65"/>
    <w:rsid w:val="0005790D"/>
    <w:rsid w:val="00060FC1"/>
    <w:rsid w:val="00062CB9"/>
    <w:rsid w:val="000640E4"/>
    <w:rsid w:val="000651A5"/>
    <w:rsid w:val="00065290"/>
    <w:rsid w:val="00070507"/>
    <w:rsid w:val="00072F47"/>
    <w:rsid w:val="00081A99"/>
    <w:rsid w:val="000830CD"/>
    <w:rsid w:val="000868B4"/>
    <w:rsid w:val="000877D0"/>
    <w:rsid w:val="000915B7"/>
    <w:rsid w:val="00096CEF"/>
    <w:rsid w:val="000A117D"/>
    <w:rsid w:val="000A2985"/>
    <w:rsid w:val="000B1F81"/>
    <w:rsid w:val="000B2F0B"/>
    <w:rsid w:val="000B460E"/>
    <w:rsid w:val="000B7EAF"/>
    <w:rsid w:val="000C39E3"/>
    <w:rsid w:val="000C6727"/>
    <w:rsid w:val="000C7ACC"/>
    <w:rsid w:val="000D1BAF"/>
    <w:rsid w:val="000D28CB"/>
    <w:rsid w:val="000D2CA4"/>
    <w:rsid w:val="000D3392"/>
    <w:rsid w:val="000D6BED"/>
    <w:rsid w:val="000D71F3"/>
    <w:rsid w:val="000E2A7F"/>
    <w:rsid w:val="000E3CD6"/>
    <w:rsid w:val="000E4643"/>
    <w:rsid w:val="000E53E4"/>
    <w:rsid w:val="000E61E9"/>
    <w:rsid w:val="000E791B"/>
    <w:rsid w:val="000E7A6C"/>
    <w:rsid w:val="000F263A"/>
    <w:rsid w:val="000F5494"/>
    <w:rsid w:val="00105EA3"/>
    <w:rsid w:val="00107090"/>
    <w:rsid w:val="00111690"/>
    <w:rsid w:val="001135BA"/>
    <w:rsid w:val="00117A1D"/>
    <w:rsid w:val="00125629"/>
    <w:rsid w:val="00125CB1"/>
    <w:rsid w:val="001278A6"/>
    <w:rsid w:val="001354B6"/>
    <w:rsid w:val="00135E3B"/>
    <w:rsid w:val="00141941"/>
    <w:rsid w:val="00141973"/>
    <w:rsid w:val="00144A56"/>
    <w:rsid w:val="00146B68"/>
    <w:rsid w:val="00150303"/>
    <w:rsid w:val="00152AF6"/>
    <w:rsid w:val="00152E57"/>
    <w:rsid w:val="00154B35"/>
    <w:rsid w:val="00154EA2"/>
    <w:rsid w:val="00155B7F"/>
    <w:rsid w:val="00163DBF"/>
    <w:rsid w:val="00164A99"/>
    <w:rsid w:val="00165F50"/>
    <w:rsid w:val="001709FF"/>
    <w:rsid w:val="00173C4B"/>
    <w:rsid w:val="00180CE8"/>
    <w:rsid w:val="001923A9"/>
    <w:rsid w:val="0019316C"/>
    <w:rsid w:val="001B4007"/>
    <w:rsid w:val="001B587C"/>
    <w:rsid w:val="001C2143"/>
    <w:rsid w:val="001C3E49"/>
    <w:rsid w:val="001D0C8E"/>
    <w:rsid w:val="001D6439"/>
    <w:rsid w:val="001E0B73"/>
    <w:rsid w:val="001E392C"/>
    <w:rsid w:val="001F063D"/>
    <w:rsid w:val="001F137E"/>
    <w:rsid w:val="001F2C42"/>
    <w:rsid w:val="001F3E18"/>
    <w:rsid w:val="001F441A"/>
    <w:rsid w:val="001F4ECE"/>
    <w:rsid w:val="001F52FB"/>
    <w:rsid w:val="001F7267"/>
    <w:rsid w:val="00203646"/>
    <w:rsid w:val="002073F4"/>
    <w:rsid w:val="00210B89"/>
    <w:rsid w:val="00213ECD"/>
    <w:rsid w:val="002143CA"/>
    <w:rsid w:val="0021746B"/>
    <w:rsid w:val="0022041A"/>
    <w:rsid w:val="00221AFC"/>
    <w:rsid w:val="00221D60"/>
    <w:rsid w:val="00222207"/>
    <w:rsid w:val="002239AD"/>
    <w:rsid w:val="00224609"/>
    <w:rsid w:val="0022769E"/>
    <w:rsid w:val="0023087D"/>
    <w:rsid w:val="002309CB"/>
    <w:rsid w:val="0023730E"/>
    <w:rsid w:val="0024081D"/>
    <w:rsid w:val="002410A1"/>
    <w:rsid w:val="00241534"/>
    <w:rsid w:val="00245FA0"/>
    <w:rsid w:val="002563EF"/>
    <w:rsid w:val="00260A0D"/>
    <w:rsid w:val="00264A7E"/>
    <w:rsid w:val="0026621C"/>
    <w:rsid w:val="0026673E"/>
    <w:rsid w:val="002670EE"/>
    <w:rsid w:val="002717C9"/>
    <w:rsid w:val="00272930"/>
    <w:rsid w:val="00274889"/>
    <w:rsid w:val="00277B50"/>
    <w:rsid w:val="00281FCE"/>
    <w:rsid w:val="00284C97"/>
    <w:rsid w:val="00285989"/>
    <w:rsid w:val="002878E9"/>
    <w:rsid w:val="0029047C"/>
    <w:rsid w:val="0029058C"/>
    <w:rsid w:val="002916E2"/>
    <w:rsid w:val="00296D04"/>
    <w:rsid w:val="00296EEE"/>
    <w:rsid w:val="002A14F3"/>
    <w:rsid w:val="002A3E49"/>
    <w:rsid w:val="002A4A12"/>
    <w:rsid w:val="002B2686"/>
    <w:rsid w:val="002B59AA"/>
    <w:rsid w:val="002B7448"/>
    <w:rsid w:val="002B7565"/>
    <w:rsid w:val="002C12B0"/>
    <w:rsid w:val="002C2462"/>
    <w:rsid w:val="002C423E"/>
    <w:rsid w:val="002D17BA"/>
    <w:rsid w:val="002D5D63"/>
    <w:rsid w:val="002E0DFC"/>
    <w:rsid w:val="002E5A2C"/>
    <w:rsid w:val="002F1B07"/>
    <w:rsid w:val="002F567A"/>
    <w:rsid w:val="002F6AE2"/>
    <w:rsid w:val="002F6D71"/>
    <w:rsid w:val="00301A6F"/>
    <w:rsid w:val="00306625"/>
    <w:rsid w:val="003068B7"/>
    <w:rsid w:val="00310D6F"/>
    <w:rsid w:val="00313225"/>
    <w:rsid w:val="00314AEF"/>
    <w:rsid w:val="003214A5"/>
    <w:rsid w:val="003224FD"/>
    <w:rsid w:val="00322B76"/>
    <w:rsid w:val="0032553F"/>
    <w:rsid w:val="00326F84"/>
    <w:rsid w:val="003317C9"/>
    <w:rsid w:val="003338C9"/>
    <w:rsid w:val="00334E3B"/>
    <w:rsid w:val="003357F5"/>
    <w:rsid w:val="00341CE5"/>
    <w:rsid w:val="00343584"/>
    <w:rsid w:val="00343FE3"/>
    <w:rsid w:val="003449F7"/>
    <w:rsid w:val="00357DF7"/>
    <w:rsid w:val="00361CEC"/>
    <w:rsid w:val="00363A76"/>
    <w:rsid w:val="00363E6E"/>
    <w:rsid w:val="00366585"/>
    <w:rsid w:val="0036759A"/>
    <w:rsid w:val="00371D4E"/>
    <w:rsid w:val="003745F7"/>
    <w:rsid w:val="0038264A"/>
    <w:rsid w:val="00384E14"/>
    <w:rsid w:val="003914BE"/>
    <w:rsid w:val="003940A8"/>
    <w:rsid w:val="00394BCE"/>
    <w:rsid w:val="00395859"/>
    <w:rsid w:val="00395DFE"/>
    <w:rsid w:val="0039668C"/>
    <w:rsid w:val="003A35AD"/>
    <w:rsid w:val="003A7622"/>
    <w:rsid w:val="003B159C"/>
    <w:rsid w:val="003B1B5C"/>
    <w:rsid w:val="003B27C8"/>
    <w:rsid w:val="003C0481"/>
    <w:rsid w:val="003C0E15"/>
    <w:rsid w:val="003D0DED"/>
    <w:rsid w:val="003D612B"/>
    <w:rsid w:val="003D6888"/>
    <w:rsid w:val="003D6CC5"/>
    <w:rsid w:val="003E13CB"/>
    <w:rsid w:val="003E3CEF"/>
    <w:rsid w:val="003F1651"/>
    <w:rsid w:val="003F1750"/>
    <w:rsid w:val="003F496B"/>
    <w:rsid w:val="003F4BFA"/>
    <w:rsid w:val="003F6419"/>
    <w:rsid w:val="003F7734"/>
    <w:rsid w:val="004114D9"/>
    <w:rsid w:val="00411D52"/>
    <w:rsid w:val="004147C2"/>
    <w:rsid w:val="00416453"/>
    <w:rsid w:val="00424C0E"/>
    <w:rsid w:val="00425F6D"/>
    <w:rsid w:val="00430229"/>
    <w:rsid w:val="00432128"/>
    <w:rsid w:val="0043278E"/>
    <w:rsid w:val="00434FCC"/>
    <w:rsid w:val="00440041"/>
    <w:rsid w:val="00440BDE"/>
    <w:rsid w:val="0044476A"/>
    <w:rsid w:val="0044515D"/>
    <w:rsid w:val="00456421"/>
    <w:rsid w:val="0046158B"/>
    <w:rsid w:val="004672E3"/>
    <w:rsid w:val="004766C7"/>
    <w:rsid w:val="00480A76"/>
    <w:rsid w:val="004818C9"/>
    <w:rsid w:val="00481B5C"/>
    <w:rsid w:val="00487CC5"/>
    <w:rsid w:val="00494720"/>
    <w:rsid w:val="00495B64"/>
    <w:rsid w:val="004A05FB"/>
    <w:rsid w:val="004A401B"/>
    <w:rsid w:val="004A4D2B"/>
    <w:rsid w:val="004C5F41"/>
    <w:rsid w:val="004D0A85"/>
    <w:rsid w:val="004D277B"/>
    <w:rsid w:val="004D31AB"/>
    <w:rsid w:val="004E2998"/>
    <w:rsid w:val="004E47C5"/>
    <w:rsid w:val="004E62EA"/>
    <w:rsid w:val="00504135"/>
    <w:rsid w:val="005054A8"/>
    <w:rsid w:val="005066B7"/>
    <w:rsid w:val="0050791D"/>
    <w:rsid w:val="00515A6F"/>
    <w:rsid w:val="00521CF7"/>
    <w:rsid w:val="005249D6"/>
    <w:rsid w:val="00526B15"/>
    <w:rsid w:val="00526B25"/>
    <w:rsid w:val="00526EEC"/>
    <w:rsid w:val="00531CC8"/>
    <w:rsid w:val="00537E5B"/>
    <w:rsid w:val="00541EF6"/>
    <w:rsid w:val="0055171F"/>
    <w:rsid w:val="005517F1"/>
    <w:rsid w:val="00551AA2"/>
    <w:rsid w:val="00552413"/>
    <w:rsid w:val="00556711"/>
    <w:rsid w:val="00557C04"/>
    <w:rsid w:val="00571941"/>
    <w:rsid w:val="00571EDA"/>
    <w:rsid w:val="00572BB7"/>
    <w:rsid w:val="00590714"/>
    <w:rsid w:val="00590AF7"/>
    <w:rsid w:val="00591485"/>
    <w:rsid w:val="00591DD5"/>
    <w:rsid w:val="00592302"/>
    <w:rsid w:val="005A46F0"/>
    <w:rsid w:val="005A7234"/>
    <w:rsid w:val="005B1929"/>
    <w:rsid w:val="005B1EC6"/>
    <w:rsid w:val="005B1FA8"/>
    <w:rsid w:val="005B437B"/>
    <w:rsid w:val="005B6195"/>
    <w:rsid w:val="005C0EC0"/>
    <w:rsid w:val="005C3FE3"/>
    <w:rsid w:val="005C57DC"/>
    <w:rsid w:val="005C65C1"/>
    <w:rsid w:val="005D046E"/>
    <w:rsid w:val="005D2371"/>
    <w:rsid w:val="005D425B"/>
    <w:rsid w:val="005D7DF0"/>
    <w:rsid w:val="005D7DF4"/>
    <w:rsid w:val="005E31A1"/>
    <w:rsid w:val="005E3DEF"/>
    <w:rsid w:val="005E3F69"/>
    <w:rsid w:val="005E457C"/>
    <w:rsid w:val="005E72DB"/>
    <w:rsid w:val="005F37A0"/>
    <w:rsid w:val="005F4157"/>
    <w:rsid w:val="005F6866"/>
    <w:rsid w:val="0060049F"/>
    <w:rsid w:val="006064D3"/>
    <w:rsid w:val="00606BDE"/>
    <w:rsid w:val="00616D37"/>
    <w:rsid w:val="00617F75"/>
    <w:rsid w:val="00622328"/>
    <w:rsid w:val="006244DF"/>
    <w:rsid w:val="00643E17"/>
    <w:rsid w:val="00644511"/>
    <w:rsid w:val="006454E2"/>
    <w:rsid w:val="00650234"/>
    <w:rsid w:val="006524C0"/>
    <w:rsid w:val="00662EB6"/>
    <w:rsid w:val="006670E1"/>
    <w:rsid w:val="0067088F"/>
    <w:rsid w:val="00683464"/>
    <w:rsid w:val="00685614"/>
    <w:rsid w:val="0068693D"/>
    <w:rsid w:val="00686974"/>
    <w:rsid w:val="00687FFE"/>
    <w:rsid w:val="00694FAE"/>
    <w:rsid w:val="006953CA"/>
    <w:rsid w:val="006A10E6"/>
    <w:rsid w:val="006A11C6"/>
    <w:rsid w:val="006A1938"/>
    <w:rsid w:val="006A4BE3"/>
    <w:rsid w:val="006A73D2"/>
    <w:rsid w:val="006A74C6"/>
    <w:rsid w:val="006B5B1C"/>
    <w:rsid w:val="006B722A"/>
    <w:rsid w:val="006B7D6E"/>
    <w:rsid w:val="006D5DAA"/>
    <w:rsid w:val="006D5DE1"/>
    <w:rsid w:val="006D6A82"/>
    <w:rsid w:val="006E157B"/>
    <w:rsid w:val="006E3ABF"/>
    <w:rsid w:val="006E71C6"/>
    <w:rsid w:val="006F13F7"/>
    <w:rsid w:val="0070415A"/>
    <w:rsid w:val="0070607B"/>
    <w:rsid w:val="00706AA7"/>
    <w:rsid w:val="0071371B"/>
    <w:rsid w:val="007156C7"/>
    <w:rsid w:val="00716F83"/>
    <w:rsid w:val="0072645D"/>
    <w:rsid w:val="00726F2A"/>
    <w:rsid w:val="00727E23"/>
    <w:rsid w:val="0073169C"/>
    <w:rsid w:val="007325FE"/>
    <w:rsid w:val="00734A65"/>
    <w:rsid w:val="007362AF"/>
    <w:rsid w:val="00740BA5"/>
    <w:rsid w:val="0074402C"/>
    <w:rsid w:val="007440F7"/>
    <w:rsid w:val="00744C50"/>
    <w:rsid w:val="00750432"/>
    <w:rsid w:val="007543E5"/>
    <w:rsid w:val="007575DA"/>
    <w:rsid w:val="00760586"/>
    <w:rsid w:val="0076325E"/>
    <w:rsid w:val="0076391C"/>
    <w:rsid w:val="00763E58"/>
    <w:rsid w:val="00765B4B"/>
    <w:rsid w:val="00771FD3"/>
    <w:rsid w:val="007761FA"/>
    <w:rsid w:val="0077687D"/>
    <w:rsid w:val="00794D90"/>
    <w:rsid w:val="00797C99"/>
    <w:rsid w:val="007A0B57"/>
    <w:rsid w:val="007A2738"/>
    <w:rsid w:val="007A2F4D"/>
    <w:rsid w:val="007A3790"/>
    <w:rsid w:val="007A7789"/>
    <w:rsid w:val="007B3D27"/>
    <w:rsid w:val="007B5B1D"/>
    <w:rsid w:val="007B63F4"/>
    <w:rsid w:val="007C09D0"/>
    <w:rsid w:val="007C4960"/>
    <w:rsid w:val="007C50B8"/>
    <w:rsid w:val="007C6D10"/>
    <w:rsid w:val="007C7949"/>
    <w:rsid w:val="007D2A05"/>
    <w:rsid w:val="007D5757"/>
    <w:rsid w:val="007D6839"/>
    <w:rsid w:val="007E51DC"/>
    <w:rsid w:val="007E6AEF"/>
    <w:rsid w:val="007F3974"/>
    <w:rsid w:val="00801099"/>
    <w:rsid w:val="00803EE3"/>
    <w:rsid w:val="00804848"/>
    <w:rsid w:val="00806FDE"/>
    <w:rsid w:val="00815610"/>
    <w:rsid w:val="00815884"/>
    <w:rsid w:val="008158BA"/>
    <w:rsid w:val="00815F6A"/>
    <w:rsid w:val="00817D55"/>
    <w:rsid w:val="00825BF8"/>
    <w:rsid w:val="0083205F"/>
    <w:rsid w:val="00835C3B"/>
    <w:rsid w:val="00844B17"/>
    <w:rsid w:val="008523B4"/>
    <w:rsid w:val="00856ACE"/>
    <w:rsid w:val="00861E1D"/>
    <w:rsid w:val="0086503E"/>
    <w:rsid w:val="00867CA7"/>
    <w:rsid w:val="00867CA9"/>
    <w:rsid w:val="00873347"/>
    <w:rsid w:val="00875D70"/>
    <w:rsid w:val="0087617C"/>
    <w:rsid w:val="00877B00"/>
    <w:rsid w:val="00880707"/>
    <w:rsid w:val="00882C08"/>
    <w:rsid w:val="00883F52"/>
    <w:rsid w:val="00890C2F"/>
    <w:rsid w:val="00892016"/>
    <w:rsid w:val="008927EC"/>
    <w:rsid w:val="00895787"/>
    <w:rsid w:val="008958EA"/>
    <w:rsid w:val="008962F6"/>
    <w:rsid w:val="008A561B"/>
    <w:rsid w:val="008A5960"/>
    <w:rsid w:val="008A64D9"/>
    <w:rsid w:val="008B106C"/>
    <w:rsid w:val="008B24E5"/>
    <w:rsid w:val="008B368A"/>
    <w:rsid w:val="008B4D94"/>
    <w:rsid w:val="008B570A"/>
    <w:rsid w:val="008B6884"/>
    <w:rsid w:val="008C14CA"/>
    <w:rsid w:val="008C3AFA"/>
    <w:rsid w:val="008C400A"/>
    <w:rsid w:val="008C555F"/>
    <w:rsid w:val="008C5D5E"/>
    <w:rsid w:val="008C7705"/>
    <w:rsid w:val="008D4C63"/>
    <w:rsid w:val="008D7AD2"/>
    <w:rsid w:val="008E2296"/>
    <w:rsid w:val="008E23F1"/>
    <w:rsid w:val="008E3200"/>
    <w:rsid w:val="008E4CD8"/>
    <w:rsid w:val="008E5126"/>
    <w:rsid w:val="008E573A"/>
    <w:rsid w:val="008F234A"/>
    <w:rsid w:val="008F4FAF"/>
    <w:rsid w:val="008F5AAD"/>
    <w:rsid w:val="0090056A"/>
    <w:rsid w:val="00900852"/>
    <w:rsid w:val="00902039"/>
    <w:rsid w:val="00907590"/>
    <w:rsid w:val="00907643"/>
    <w:rsid w:val="00912287"/>
    <w:rsid w:val="00921933"/>
    <w:rsid w:val="0092662A"/>
    <w:rsid w:val="009274CE"/>
    <w:rsid w:val="00927BA8"/>
    <w:rsid w:val="00931171"/>
    <w:rsid w:val="00932379"/>
    <w:rsid w:val="009325A5"/>
    <w:rsid w:val="00933CA8"/>
    <w:rsid w:val="009421DC"/>
    <w:rsid w:val="0094464A"/>
    <w:rsid w:val="00945B7D"/>
    <w:rsid w:val="00956D22"/>
    <w:rsid w:val="00956F59"/>
    <w:rsid w:val="009629DB"/>
    <w:rsid w:val="009630F9"/>
    <w:rsid w:val="00963C09"/>
    <w:rsid w:val="00964D04"/>
    <w:rsid w:val="009652E7"/>
    <w:rsid w:val="00966F4F"/>
    <w:rsid w:val="009701FD"/>
    <w:rsid w:val="00972368"/>
    <w:rsid w:val="009729B4"/>
    <w:rsid w:val="00976F87"/>
    <w:rsid w:val="009779EF"/>
    <w:rsid w:val="009802C0"/>
    <w:rsid w:val="00980F51"/>
    <w:rsid w:val="009866E1"/>
    <w:rsid w:val="0099128E"/>
    <w:rsid w:val="00991B5A"/>
    <w:rsid w:val="009A0143"/>
    <w:rsid w:val="009B0C99"/>
    <w:rsid w:val="009C3D31"/>
    <w:rsid w:val="009C579A"/>
    <w:rsid w:val="009C7EB2"/>
    <w:rsid w:val="009D17B1"/>
    <w:rsid w:val="009D54CA"/>
    <w:rsid w:val="009D558A"/>
    <w:rsid w:val="009D71C7"/>
    <w:rsid w:val="009E18EC"/>
    <w:rsid w:val="009E516F"/>
    <w:rsid w:val="009E74B5"/>
    <w:rsid w:val="009F15BD"/>
    <w:rsid w:val="009F1BFB"/>
    <w:rsid w:val="00A00D41"/>
    <w:rsid w:val="00A03987"/>
    <w:rsid w:val="00A04D09"/>
    <w:rsid w:val="00A04FD8"/>
    <w:rsid w:val="00A112AC"/>
    <w:rsid w:val="00A15C41"/>
    <w:rsid w:val="00A21317"/>
    <w:rsid w:val="00A21990"/>
    <w:rsid w:val="00A244BE"/>
    <w:rsid w:val="00A245E4"/>
    <w:rsid w:val="00A31C14"/>
    <w:rsid w:val="00A3319C"/>
    <w:rsid w:val="00A36589"/>
    <w:rsid w:val="00A36E80"/>
    <w:rsid w:val="00A36FA8"/>
    <w:rsid w:val="00A4169B"/>
    <w:rsid w:val="00A46C9E"/>
    <w:rsid w:val="00A47751"/>
    <w:rsid w:val="00A50FE8"/>
    <w:rsid w:val="00A548C3"/>
    <w:rsid w:val="00A556A8"/>
    <w:rsid w:val="00A636FD"/>
    <w:rsid w:val="00A6666E"/>
    <w:rsid w:val="00A6668C"/>
    <w:rsid w:val="00A66DD4"/>
    <w:rsid w:val="00A6776C"/>
    <w:rsid w:val="00A71D77"/>
    <w:rsid w:val="00A727CF"/>
    <w:rsid w:val="00A732B5"/>
    <w:rsid w:val="00A77E00"/>
    <w:rsid w:val="00A82B72"/>
    <w:rsid w:val="00A82FE4"/>
    <w:rsid w:val="00A87E0C"/>
    <w:rsid w:val="00A935D3"/>
    <w:rsid w:val="00A93D32"/>
    <w:rsid w:val="00A946CE"/>
    <w:rsid w:val="00A96AF9"/>
    <w:rsid w:val="00AA4201"/>
    <w:rsid w:val="00AA4710"/>
    <w:rsid w:val="00AA482A"/>
    <w:rsid w:val="00AA4E09"/>
    <w:rsid w:val="00AA72F2"/>
    <w:rsid w:val="00AA7833"/>
    <w:rsid w:val="00AB13BB"/>
    <w:rsid w:val="00AB1D14"/>
    <w:rsid w:val="00AB26CA"/>
    <w:rsid w:val="00AB29AF"/>
    <w:rsid w:val="00AB4B82"/>
    <w:rsid w:val="00AC1224"/>
    <w:rsid w:val="00AC4ECB"/>
    <w:rsid w:val="00AD73A3"/>
    <w:rsid w:val="00AE15A2"/>
    <w:rsid w:val="00AE2949"/>
    <w:rsid w:val="00AE3055"/>
    <w:rsid w:val="00AE4F3A"/>
    <w:rsid w:val="00AF092A"/>
    <w:rsid w:val="00B043C2"/>
    <w:rsid w:val="00B11361"/>
    <w:rsid w:val="00B12AA1"/>
    <w:rsid w:val="00B15EDC"/>
    <w:rsid w:val="00B172A3"/>
    <w:rsid w:val="00B2219C"/>
    <w:rsid w:val="00B223D6"/>
    <w:rsid w:val="00B230EE"/>
    <w:rsid w:val="00B24137"/>
    <w:rsid w:val="00B276C6"/>
    <w:rsid w:val="00B31412"/>
    <w:rsid w:val="00B348B8"/>
    <w:rsid w:val="00B42946"/>
    <w:rsid w:val="00B42ED6"/>
    <w:rsid w:val="00B45E0C"/>
    <w:rsid w:val="00B470AC"/>
    <w:rsid w:val="00B51A81"/>
    <w:rsid w:val="00B567DB"/>
    <w:rsid w:val="00B603B3"/>
    <w:rsid w:val="00B6710E"/>
    <w:rsid w:val="00B73A3D"/>
    <w:rsid w:val="00B76AF8"/>
    <w:rsid w:val="00B77D32"/>
    <w:rsid w:val="00B80F46"/>
    <w:rsid w:val="00B87672"/>
    <w:rsid w:val="00B87994"/>
    <w:rsid w:val="00B93391"/>
    <w:rsid w:val="00B933DD"/>
    <w:rsid w:val="00B96FD8"/>
    <w:rsid w:val="00BA7AEF"/>
    <w:rsid w:val="00BB109B"/>
    <w:rsid w:val="00BB30D1"/>
    <w:rsid w:val="00BB792B"/>
    <w:rsid w:val="00BC278B"/>
    <w:rsid w:val="00BC36E8"/>
    <w:rsid w:val="00BC7933"/>
    <w:rsid w:val="00BD27E1"/>
    <w:rsid w:val="00BD2C3B"/>
    <w:rsid w:val="00BE3BDB"/>
    <w:rsid w:val="00BE4096"/>
    <w:rsid w:val="00BE51C5"/>
    <w:rsid w:val="00BE585D"/>
    <w:rsid w:val="00BF329F"/>
    <w:rsid w:val="00BF5642"/>
    <w:rsid w:val="00BF5CD9"/>
    <w:rsid w:val="00C003D1"/>
    <w:rsid w:val="00C0340D"/>
    <w:rsid w:val="00C07D18"/>
    <w:rsid w:val="00C07FB2"/>
    <w:rsid w:val="00C13010"/>
    <w:rsid w:val="00C1382F"/>
    <w:rsid w:val="00C1695C"/>
    <w:rsid w:val="00C178B6"/>
    <w:rsid w:val="00C20E1F"/>
    <w:rsid w:val="00C21E7D"/>
    <w:rsid w:val="00C25AFE"/>
    <w:rsid w:val="00C326DC"/>
    <w:rsid w:val="00C32774"/>
    <w:rsid w:val="00C35D71"/>
    <w:rsid w:val="00C40308"/>
    <w:rsid w:val="00C40AA9"/>
    <w:rsid w:val="00C41D2E"/>
    <w:rsid w:val="00C4328B"/>
    <w:rsid w:val="00C44119"/>
    <w:rsid w:val="00C47C97"/>
    <w:rsid w:val="00C525A2"/>
    <w:rsid w:val="00C61212"/>
    <w:rsid w:val="00C6187F"/>
    <w:rsid w:val="00C65FAF"/>
    <w:rsid w:val="00C725FC"/>
    <w:rsid w:val="00C743E4"/>
    <w:rsid w:val="00C808E2"/>
    <w:rsid w:val="00C82E4C"/>
    <w:rsid w:val="00C8363C"/>
    <w:rsid w:val="00C84836"/>
    <w:rsid w:val="00C85668"/>
    <w:rsid w:val="00C85A2B"/>
    <w:rsid w:val="00C86B80"/>
    <w:rsid w:val="00C9390A"/>
    <w:rsid w:val="00C95F77"/>
    <w:rsid w:val="00CA0B80"/>
    <w:rsid w:val="00CA0F96"/>
    <w:rsid w:val="00CA367F"/>
    <w:rsid w:val="00CB1435"/>
    <w:rsid w:val="00CB6CD2"/>
    <w:rsid w:val="00CC27EA"/>
    <w:rsid w:val="00CC3827"/>
    <w:rsid w:val="00CC4827"/>
    <w:rsid w:val="00CC6FA5"/>
    <w:rsid w:val="00CD196E"/>
    <w:rsid w:val="00CD29ED"/>
    <w:rsid w:val="00CD4276"/>
    <w:rsid w:val="00CD78EB"/>
    <w:rsid w:val="00CE33F4"/>
    <w:rsid w:val="00CE751C"/>
    <w:rsid w:val="00CF03D1"/>
    <w:rsid w:val="00CF1073"/>
    <w:rsid w:val="00CF2996"/>
    <w:rsid w:val="00CF634B"/>
    <w:rsid w:val="00CF6A40"/>
    <w:rsid w:val="00D00F04"/>
    <w:rsid w:val="00D01FD4"/>
    <w:rsid w:val="00D06FA0"/>
    <w:rsid w:val="00D211F2"/>
    <w:rsid w:val="00D26AAD"/>
    <w:rsid w:val="00D27E72"/>
    <w:rsid w:val="00D360E3"/>
    <w:rsid w:val="00D36EC9"/>
    <w:rsid w:val="00D4051B"/>
    <w:rsid w:val="00D42EEF"/>
    <w:rsid w:val="00D45207"/>
    <w:rsid w:val="00D53612"/>
    <w:rsid w:val="00D53CED"/>
    <w:rsid w:val="00D545E2"/>
    <w:rsid w:val="00D55364"/>
    <w:rsid w:val="00D5572D"/>
    <w:rsid w:val="00D57F3A"/>
    <w:rsid w:val="00D60D63"/>
    <w:rsid w:val="00D71B35"/>
    <w:rsid w:val="00D76C72"/>
    <w:rsid w:val="00D806F1"/>
    <w:rsid w:val="00D808E4"/>
    <w:rsid w:val="00D839AC"/>
    <w:rsid w:val="00D855B3"/>
    <w:rsid w:val="00D86347"/>
    <w:rsid w:val="00D94330"/>
    <w:rsid w:val="00DA2E98"/>
    <w:rsid w:val="00DB1E11"/>
    <w:rsid w:val="00DB32A5"/>
    <w:rsid w:val="00DC0648"/>
    <w:rsid w:val="00DC7220"/>
    <w:rsid w:val="00DD1130"/>
    <w:rsid w:val="00DD64C0"/>
    <w:rsid w:val="00DF0BE3"/>
    <w:rsid w:val="00DF4300"/>
    <w:rsid w:val="00E00BDE"/>
    <w:rsid w:val="00E11215"/>
    <w:rsid w:val="00E12A55"/>
    <w:rsid w:val="00E12D98"/>
    <w:rsid w:val="00E15AA0"/>
    <w:rsid w:val="00E15D75"/>
    <w:rsid w:val="00E215F3"/>
    <w:rsid w:val="00E24407"/>
    <w:rsid w:val="00E25BCC"/>
    <w:rsid w:val="00E30BEB"/>
    <w:rsid w:val="00E31F71"/>
    <w:rsid w:val="00E3474C"/>
    <w:rsid w:val="00E36ABB"/>
    <w:rsid w:val="00E4026D"/>
    <w:rsid w:val="00E414B3"/>
    <w:rsid w:val="00E42924"/>
    <w:rsid w:val="00E43EEB"/>
    <w:rsid w:val="00E46883"/>
    <w:rsid w:val="00E50011"/>
    <w:rsid w:val="00E5428E"/>
    <w:rsid w:val="00E62DBE"/>
    <w:rsid w:val="00E724FC"/>
    <w:rsid w:val="00E75ADE"/>
    <w:rsid w:val="00E83506"/>
    <w:rsid w:val="00E83B70"/>
    <w:rsid w:val="00E83ED1"/>
    <w:rsid w:val="00E97A04"/>
    <w:rsid w:val="00E97E97"/>
    <w:rsid w:val="00EA4F5C"/>
    <w:rsid w:val="00EB0335"/>
    <w:rsid w:val="00EB124F"/>
    <w:rsid w:val="00EC5BC0"/>
    <w:rsid w:val="00EC6122"/>
    <w:rsid w:val="00EC6DE1"/>
    <w:rsid w:val="00ED3BC0"/>
    <w:rsid w:val="00EE3D49"/>
    <w:rsid w:val="00EE53D7"/>
    <w:rsid w:val="00EE63C7"/>
    <w:rsid w:val="00EE73A5"/>
    <w:rsid w:val="00EE740C"/>
    <w:rsid w:val="00EF080D"/>
    <w:rsid w:val="00EF31E5"/>
    <w:rsid w:val="00EF61C1"/>
    <w:rsid w:val="00EF6A66"/>
    <w:rsid w:val="00F024F6"/>
    <w:rsid w:val="00F03F3B"/>
    <w:rsid w:val="00F07328"/>
    <w:rsid w:val="00F130BC"/>
    <w:rsid w:val="00F13403"/>
    <w:rsid w:val="00F13B23"/>
    <w:rsid w:val="00F215D0"/>
    <w:rsid w:val="00F23E78"/>
    <w:rsid w:val="00F2556B"/>
    <w:rsid w:val="00F26456"/>
    <w:rsid w:val="00F26DB1"/>
    <w:rsid w:val="00F30231"/>
    <w:rsid w:val="00F31478"/>
    <w:rsid w:val="00F31C02"/>
    <w:rsid w:val="00F33ED0"/>
    <w:rsid w:val="00F47794"/>
    <w:rsid w:val="00F56E39"/>
    <w:rsid w:val="00F57F5E"/>
    <w:rsid w:val="00F57F9F"/>
    <w:rsid w:val="00F6680A"/>
    <w:rsid w:val="00F71451"/>
    <w:rsid w:val="00F8409C"/>
    <w:rsid w:val="00F84778"/>
    <w:rsid w:val="00F853DE"/>
    <w:rsid w:val="00F87399"/>
    <w:rsid w:val="00F87444"/>
    <w:rsid w:val="00F939AC"/>
    <w:rsid w:val="00F97754"/>
    <w:rsid w:val="00F97AC7"/>
    <w:rsid w:val="00FB1E5B"/>
    <w:rsid w:val="00FB60B5"/>
    <w:rsid w:val="00FB6E57"/>
    <w:rsid w:val="00FC5E4F"/>
    <w:rsid w:val="00FC6A43"/>
    <w:rsid w:val="00FC729D"/>
    <w:rsid w:val="00FC7D32"/>
    <w:rsid w:val="00FD1315"/>
    <w:rsid w:val="00FD14EF"/>
    <w:rsid w:val="00FD4529"/>
    <w:rsid w:val="00FD5252"/>
    <w:rsid w:val="00FD74E5"/>
    <w:rsid w:val="00FE5CC7"/>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16"/>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rsid w:val="00C525A2"/>
    <w:rPr>
      <w:sz w:val="20"/>
    </w:rPr>
  </w:style>
  <w:style w:type="character" w:customStyle="1" w:styleId="CommentTextChar">
    <w:name w:val="Comment Text Char"/>
    <w:basedOn w:val="DefaultParagraphFont"/>
    <w:link w:val="CommentText"/>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24"/>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FooterChar">
    <w:name w:val="Footer Char"/>
    <w:basedOn w:val="DefaultParagraphFont"/>
    <w:link w:val="Footer"/>
    <w:uiPriority w:val="99"/>
    <w:rsid w:val="005C3FE3"/>
    <w:rPr>
      <w:rFonts w:ascii="Arial" w:hAnsi="Arial"/>
      <w:sz w:val="22"/>
    </w:rPr>
  </w:style>
  <w:style w:type="paragraph" w:styleId="BodyTextIndent">
    <w:name w:val="Body Text Indent"/>
    <w:basedOn w:val="Normal"/>
    <w:link w:val="BodyTextIndentChar"/>
    <w:unhideWhenUsed/>
    <w:rsid w:val="00260A0D"/>
    <w:pPr>
      <w:spacing w:after="120"/>
      <w:ind w:left="360"/>
    </w:pPr>
  </w:style>
  <w:style w:type="character" w:customStyle="1" w:styleId="BodyTextIndentChar">
    <w:name w:val="Body Text Indent Char"/>
    <w:basedOn w:val="DefaultParagraphFont"/>
    <w:link w:val="BodyTextIndent"/>
    <w:rsid w:val="00260A0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4960">
      <w:bodyDiv w:val="1"/>
      <w:marLeft w:val="0"/>
      <w:marRight w:val="0"/>
      <w:marTop w:val="0"/>
      <w:marBottom w:val="0"/>
      <w:divBdr>
        <w:top w:val="none" w:sz="0" w:space="0" w:color="auto"/>
        <w:left w:val="none" w:sz="0" w:space="0" w:color="auto"/>
        <w:bottom w:val="none" w:sz="0" w:space="0" w:color="auto"/>
        <w:right w:val="none" w:sz="0" w:space="0" w:color="auto"/>
      </w:divBdr>
    </w:div>
    <w:div w:id="988095130">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376277154">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6848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3" ma:contentTypeDescription="Create a new document." ma:contentTypeScope="" ma:versionID="cac41f9dd392cc616fdc80c6be10a98f">
  <xsd:schema xmlns:xsd="http://www.w3.org/2001/XMLSchema" xmlns:xs="http://www.w3.org/2001/XMLSchema" xmlns:p="http://schemas.microsoft.com/office/2006/metadata/properties" xmlns:ns3="8fe2067a-31b0-458f-a81b-54502c5a278d" targetNamespace="http://schemas.microsoft.com/office/2006/metadata/properties" ma:root="true" ma:fieldsID="858c974f6bd3e54e5892726819ce52e3"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E94C-84B9-4C00-A58A-DA26E545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3.xml><?xml version="1.0" encoding="utf-8"?>
<ds:datastoreItem xmlns:ds="http://schemas.openxmlformats.org/officeDocument/2006/customXml" ds:itemID="{9CD7F02B-B695-42A1-8AB1-4CB603C17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AA266-4C0C-412F-9513-935D080C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7367</Words>
  <Characters>41992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49261</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Bonsant, Kimberly</cp:lastModifiedBy>
  <cp:revision>2</cp:revision>
  <cp:lastPrinted>2020-01-10T15:55:00Z</cp:lastPrinted>
  <dcterms:created xsi:type="dcterms:W3CDTF">2020-02-05T20:33:00Z</dcterms:created>
  <dcterms:modified xsi:type="dcterms:W3CDTF">2020-02-05T20:33:00Z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