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3F74" w14:textId="77777777" w:rsidR="003D06A1" w:rsidRDefault="003D06A1"/>
    <w:p w14:paraId="42015ED9" w14:textId="77777777" w:rsidR="003D06A1" w:rsidRDefault="003D06A1"/>
    <w:p w14:paraId="389D9519" w14:textId="3BC6503F" w:rsidR="00BB1FEE" w:rsidRDefault="00DF08AD">
      <w:r>
        <w:rPr>
          <w:noProof/>
        </w:rPr>
        <w:drawing>
          <wp:inline distT="0" distB="0" distL="0" distR="0" wp14:anchorId="710F1154" wp14:editId="6A18A4D8">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inline>
        </w:drawing>
      </w:r>
    </w:p>
    <w:p w14:paraId="106DC251" w14:textId="77777777" w:rsidR="00DF08AD" w:rsidRDefault="00DF08AD"/>
    <w:p w14:paraId="5DC455EC" w14:textId="77777777" w:rsidR="00DF08AD" w:rsidRDefault="00DF08AD" w:rsidP="003C3FC4">
      <w:pPr>
        <w:rPr>
          <w:rFonts w:ascii="Calibri" w:hAnsi="Calibri"/>
          <w:b/>
          <w:color w:val="333333"/>
          <w:sz w:val="28"/>
          <w:szCs w:val="28"/>
        </w:rPr>
      </w:pPr>
      <w:r w:rsidRPr="00F90C04">
        <w:rPr>
          <w:rFonts w:ascii="Calibri" w:hAnsi="Calibri"/>
          <w:b/>
          <w:color w:val="333333"/>
          <w:sz w:val="28"/>
          <w:szCs w:val="28"/>
        </w:rPr>
        <w:t>Chapter 243:  Uniform Reporting System for Health Care Claims Data Sets</w:t>
      </w:r>
    </w:p>
    <w:p w14:paraId="502116ED" w14:textId="77777777" w:rsidR="00DF08AD" w:rsidRDefault="003C3FC4" w:rsidP="003C3FC4">
      <w:pPr>
        <w:spacing w:after="270" w:line="270" w:lineRule="atLeast"/>
        <w:rPr>
          <w:rFonts w:ascii="Calibri" w:hAnsi="Calibri"/>
          <w:b/>
          <w:color w:val="333333"/>
        </w:rPr>
      </w:pPr>
      <w:r>
        <w:rPr>
          <w:rFonts w:ascii="Calibri" w:hAnsi="Calibri"/>
          <w:b/>
          <w:color w:val="333333"/>
          <w:sz w:val="28"/>
          <w:szCs w:val="28"/>
        </w:rPr>
        <w:t>(</w:t>
      </w:r>
      <w:r w:rsidR="00DF08AD" w:rsidRPr="00F90C04">
        <w:rPr>
          <w:rFonts w:ascii="Calibri" w:hAnsi="Calibri"/>
          <w:b/>
          <w:color w:val="333333"/>
        </w:rPr>
        <w:t>Routine Technical Rule</w:t>
      </w:r>
      <w:r>
        <w:rPr>
          <w:rFonts w:ascii="Calibri" w:hAnsi="Calibri"/>
          <w:b/>
          <w:color w:val="333333"/>
        </w:rPr>
        <w:t>)</w:t>
      </w:r>
    </w:p>
    <w:p w14:paraId="207953EC" w14:textId="77777777" w:rsidR="003C3FC4" w:rsidRPr="005833BE" w:rsidRDefault="003C3FC4" w:rsidP="003C3FC4">
      <w:pPr>
        <w:spacing w:after="270" w:line="270" w:lineRule="atLeast"/>
        <w:jc w:val="both"/>
        <w:rPr>
          <w:rFonts w:ascii="Calibri" w:hAnsi="Calibri"/>
          <w:b/>
          <w:color w:val="333333"/>
          <w:u w:val="single"/>
        </w:rPr>
      </w:pPr>
      <w:r w:rsidRPr="005833BE">
        <w:rPr>
          <w:rFonts w:ascii="Calibri" w:hAnsi="Calibri"/>
          <w:b/>
          <w:color w:val="333333"/>
          <w:u w:val="single"/>
        </w:rPr>
        <w:t>Table of Contents</w:t>
      </w:r>
      <w:bookmarkStart w:id="0" w:name="_GoBack"/>
      <w:bookmarkEnd w:id="0"/>
    </w:p>
    <w:p w14:paraId="699545B2" w14:textId="77777777" w:rsidR="003C3FC4" w:rsidRDefault="003C3FC4" w:rsidP="003C3FC4">
      <w:pPr>
        <w:spacing w:after="270" w:line="270" w:lineRule="atLeast"/>
        <w:jc w:val="both"/>
        <w:rPr>
          <w:rFonts w:ascii="Calibri" w:hAnsi="Calibri"/>
          <w:b/>
          <w:color w:val="333333"/>
        </w:rPr>
      </w:pPr>
      <w:r>
        <w:rPr>
          <w:rFonts w:ascii="Calibri" w:hAnsi="Calibri"/>
          <w:b/>
          <w:color w:val="333333"/>
        </w:rPr>
        <w:t xml:space="preserve">Section I. </w:t>
      </w:r>
      <w:r>
        <w:rPr>
          <w:rFonts w:ascii="Calibri" w:hAnsi="Calibri"/>
          <w:b/>
          <w:color w:val="333333"/>
        </w:rPr>
        <w:tab/>
        <w:t>Basis Statement.</w:t>
      </w:r>
    </w:p>
    <w:p w14:paraId="1E9FAA03" w14:textId="77777777" w:rsidR="003C3FC4" w:rsidRDefault="003C3FC4" w:rsidP="003C3FC4">
      <w:pPr>
        <w:spacing w:after="270" w:line="270" w:lineRule="atLeast"/>
        <w:jc w:val="both"/>
        <w:rPr>
          <w:rFonts w:ascii="Calibri" w:hAnsi="Calibri"/>
          <w:b/>
          <w:color w:val="333333"/>
        </w:rPr>
      </w:pPr>
      <w:r>
        <w:rPr>
          <w:rFonts w:ascii="Calibri" w:hAnsi="Calibri"/>
          <w:b/>
          <w:color w:val="333333"/>
        </w:rPr>
        <w:t xml:space="preserve">Section II. </w:t>
      </w:r>
      <w:r>
        <w:rPr>
          <w:rFonts w:ascii="Calibri" w:hAnsi="Calibri"/>
          <w:b/>
          <w:color w:val="333333"/>
        </w:rPr>
        <w:tab/>
        <w:t>Names of Individuals that Submitted Comments.</w:t>
      </w:r>
    </w:p>
    <w:p w14:paraId="6E4A0197" w14:textId="77777777" w:rsidR="003C3FC4" w:rsidRPr="00F90C04" w:rsidRDefault="003C3FC4" w:rsidP="003C3FC4">
      <w:pPr>
        <w:spacing w:after="270" w:line="270" w:lineRule="atLeast"/>
        <w:ind w:left="1440" w:hanging="1440"/>
        <w:jc w:val="both"/>
        <w:rPr>
          <w:rFonts w:ascii="Calibri" w:hAnsi="Calibri"/>
          <w:b/>
          <w:color w:val="333333"/>
        </w:rPr>
      </w:pPr>
      <w:r>
        <w:rPr>
          <w:rFonts w:ascii="Calibri" w:hAnsi="Calibri"/>
          <w:b/>
          <w:color w:val="333333"/>
        </w:rPr>
        <w:t xml:space="preserve">Section III. </w:t>
      </w:r>
      <w:r>
        <w:rPr>
          <w:rFonts w:ascii="Calibri" w:hAnsi="Calibri"/>
          <w:b/>
          <w:color w:val="333333"/>
        </w:rPr>
        <w:tab/>
        <w:t>Summary of Comments Received by Submitter with Proposed Agency Response.</w:t>
      </w:r>
    </w:p>
    <w:p w14:paraId="282BE928" w14:textId="77777777" w:rsidR="00DF08AD" w:rsidRDefault="00DF08AD" w:rsidP="00DF08AD">
      <w:pPr>
        <w:pStyle w:val="Header"/>
      </w:pPr>
    </w:p>
    <w:p w14:paraId="379C5B34" w14:textId="77777777" w:rsidR="0005255F" w:rsidRDefault="00DF08AD" w:rsidP="00DF08AD">
      <w:pPr>
        <w:rPr>
          <w:rFonts w:ascii="Calibri" w:hAnsi="Calibri" w:cs="Arial"/>
          <w:b/>
        </w:rPr>
      </w:pPr>
      <w:r w:rsidRPr="0005255F">
        <w:rPr>
          <w:rFonts w:ascii="Calibri" w:hAnsi="Calibri" w:cs="Arial"/>
          <w:b/>
        </w:rPr>
        <w:t xml:space="preserve">Section I. </w:t>
      </w:r>
      <w:r w:rsidR="0005255F" w:rsidRPr="0005255F">
        <w:rPr>
          <w:rFonts w:ascii="Calibri" w:hAnsi="Calibri" w:cs="Arial"/>
          <w:b/>
        </w:rPr>
        <w:t>Basis Statement</w:t>
      </w:r>
      <w:r w:rsidR="0005255F">
        <w:rPr>
          <w:rFonts w:ascii="Calibri" w:hAnsi="Calibri" w:cs="Arial"/>
          <w:b/>
        </w:rPr>
        <w:t>.</w:t>
      </w:r>
    </w:p>
    <w:p w14:paraId="0463B229" w14:textId="77777777" w:rsidR="00066139" w:rsidRDefault="00066139" w:rsidP="00DF08AD">
      <w:pPr>
        <w:rPr>
          <w:rFonts w:ascii="Calibri" w:hAnsi="Calibri" w:cs="Arial"/>
          <w:b/>
        </w:rPr>
      </w:pPr>
    </w:p>
    <w:p w14:paraId="7FB68151" w14:textId="77777777" w:rsidR="009709B5" w:rsidRDefault="00066139" w:rsidP="009709B5">
      <w:pPr>
        <w:pStyle w:val="DefaultText"/>
        <w:rPr>
          <w:rFonts w:asciiTheme="minorHAnsi" w:hAnsiTheme="minorHAnsi"/>
        </w:rPr>
      </w:pPr>
      <w:r w:rsidRPr="00066139">
        <w:rPr>
          <w:rFonts w:asciiTheme="minorHAnsi" w:hAnsiTheme="minorHAnsi"/>
        </w:rPr>
        <w:t>The Maine Health Data Organization is authorized by statute to collect health care data.  The purpose of this Chapter is to explain the provisions for filing health care claims data sets from all third-party payers, third-party administrators, Medicare health plan sponsors and pharmacy benefits managers.</w:t>
      </w:r>
    </w:p>
    <w:p w14:paraId="178C09FF" w14:textId="77777777" w:rsidR="009709B5" w:rsidRDefault="009709B5" w:rsidP="00066139">
      <w:pPr>
        <w:pStyle w:val="DefaultText"/>
        <w:rPr>
          <w:rFonts w:asciiTheme="minorHAnsi" w:hAnsiTheme="minorHAnsi"/>
        </w:rPr>
      </w:pPr>
    </w:p>
    <w:p w14:paraId="726841FE" w14:textId="658906FB" w:rsidR="00A51CE0" w:rsidRDefault="00B4472B" w:rsidP="00A51CE0">
      <w:pPr>
        <w:pStyle w:val="DefaultText"/>
        <w:rPr>
          <w:rFonts w:asciiTheme="minorHAnsi" w:hAnsiTheme="minorHAnsi"/>
        </w:rPr>
      </w:pPr>
      <w:r>
        <w:rPr>
          <w:rFonts w:asciiTheme="minorHAnsi" w:hAnsiTheme="minorHAnsi"/>
        </w:rPr>
        <w:t xml:space="preserve">This </w:t>
      </w:r>
      <w:r w:rsidR="00A51CE0" w:rsidRPr="00A51CE0">
        <w:rPr>
          <w:rFonts w:asciiTheme="minorHAnsi" w:hAnsiTheme="minorHAnsi"/>
        </w:rPr>
        <w:t xml:space="preserve">rule change adds subscriber and member fields </w:t>
      </w:r>
      <w:r w:rsidR="00CE7B44" w:rsidRPr="00A51CE0">
        <w:rPr>
          <w:rFonts w:asciiTheme="minorHAnsi" w:hAnsiTheme="minorHAnsi"/>
        </w:rPr>
        <w:t>to</w:t>
      </w:r>
      <w:r w:rsidR="00A51CE0" w:rsidRPr="00A51CE0">
        <w:rPr>
          <w:rFonts w:asciiTheme="minorHAnsi" w:hAnsiTheme="minorHAnsi"/>
        </w:rPr>
        <w:t xml:space="preserve"> improve the MHDO’s patient index and to prepare for the Centers for Medicare and Medicaid Services (CMS) transition from Heath Insurance Claim Number (HICN) to Medicare Beneficiary Identifier (MBI). Other minor technical changes are also being made to conform to industry standards.</w:t>
      </w:r>
    </w:p>
    <w:p w14:paraId="24B89C9E" w14:textId="77777777" w:rsidR="00B4472B" w:rsidRDefault="00B4472B" w:rsidP="00A51CE0">
      <w:pPr>
        <w:pStyle w:val="DefaultText"/>
        <w:rPr>
          <w:rFonts w:asciiTheme="minorHAnsi" w:hAnsiTheme="minorHAnsi"/>
        </w:rPr>
      </w:pPr>
    </w:p>
    <w:p w14:paraId="595D303D" w14:textId="77777777" w:rsidR="00B4472B" w:rsidRPr="00B4472B" w:rsidRDefault="00B4472B" w:rsidP="00B4472B">
      <w:pPr>
        <w:pStyle w:val="DefaultText"/>
        <w:rPr>
          <w:rFonts w:asciiTheme="minorHAnsi" w:hAnsiTheme="minorHAnsi"/>
        </w:rPr>
      </w:pPr>
      <w:r w:rsidRPr="00B4472B">
        <w:rPr>
          <w:rFonts w:asciiTheme="minorHAnsi" w:hAnsiTheme="minorHAnsi"/>
        </w:rPr>
        <w:t>These changes are intended to give providers direction and time to implement modifications to their reporting systems.  It is anticipated that these changes will allow for more useful analyses of the data by MHDO data users.</w:t>
      </w:r>
    </w:p>
    <w:p w14:paraId="67108201" w14:textId="77777777" w:rsidR="0005255F" w:rsidRDefault="0005255F" w:rsidP="00DF08AD">
      <w:pPr>
        <w:rPr>
          <w:rFonts w:ascii="Calibri" w:hAnsi="Calibri" w:cs="Arial"/>
          <w:b/>
          <w:sz w:val="28"/>
          <w:szCs w:val="28"/>
        </w:rPr>
      </w:pPr>
    </w:p>
    <w:p w14:paraId="7F584523" w14:textId="77777777" w:rsidR="00DF08AD" w:rsidRPr="0005255F" w:rsidRDefault="0005255F" w:rsidP="00DF08AD">
      <w:pPr>
        <w:rPr>
          <w:rFonts w:ascii="Calibri" w:hAnsi="Calibri" w:cs="Arial"/>
          <w:b/>
        </w:rPr>
      </w:pPr>
      <w:r w:rsidRPr="0005255F">
        <w:rPr>
          <w:rFonts w:ascii="Calibri" w:hAnsi="Calibri" w:cs="Arial"/>
          <w:b/>
        </w:rPr>
        <w:t xml:space="preserve">Section II. </w:t>
      </w:r>
      <w:r w:rsidR="00DF08AD" w:rsidRPr="0005255F">
        <w:rPr>
          <w:rFonts w:ascii="Calibri" w:hAnsi="Calibri" w:cs="Arial"/>
          <w:b/>
        </w:rPr>
        <w:t>Names of Individuals that Submitted Comments</w:t>
      </w:r>
      <w:r>
        <w:rPr>
          <w:rFonts w:ascii="Calibri" w:hAnsi="Calibri" w:cs="Arial"/>
          <w:b/>
        </w:rPr>
        <w:t>.</w:t>
      </w:r>
    </w:p>
    <w:p w14:paraId="78615BAE" w14:textId="77777777" w:rsidR="00DF08AD" w:rsidRPr="00D854DC" w:rsidRDefault="00DF08AD" w:rsidP="00DF08AD">
      <w:pPr>
        <w:rPr>
          <w:rFonts w:ascii="Calibri" w:hAnsi="Calibri" w:cs="Arial"/>
          <w:b/>
        </w:rPr>
      </w:pPr>
    </w:p>
    <w:p w14:paraId="4A0707BD" w14:textId="77777777" w:rsidR="00DF08AD" w:rsidRDefault="00DF08AD" w:rsidP="00DF08AD">
      <w:pPr>
        <w:rPr>
          <w:rFonts w:ascii="Calibri" w:hAnsi="Calibri" w:cs="Arial"/>
        </w:rPr>
      </w:pPr>
      <w:r w:rsidRPr="00D854DC">
        <w:rPr>
          <w:rFonts w:ascii="Calibri" w:hAnsi="Calibri" w:cs="Arial"/>
        </w:rPr>
        <w:t xml:space="preserve">The following is a list of individuals and affiliations that submitted written comments to the Maine Health Data Organization (MHDO) regarding proposed rule Chapter </w:t>
      </w:r>
      <w:r>
        <w:rPr>
          <w:rFonts w:ascii="Calibri" w:hAnsi="Calibri" w:cs="Arial"/>
        </w:rPr>
        <w:t>243:</w:t>
      </w:r>
    </w:p>
    <w:p w14:paraId="0AC0BC4C" w14:textId="77777777" w:rsidR="00762BAC" w:rsidRDefault="00762BAC" w:rsidP="00DF08AD">
      <w:pPr>
        <w:rPr>
          <w:rFonts w:ascii="Calibri" w:hAnsi="Calibri" w:cs="Arial"/>
        </w:rPr>
      </w:pPr>
    </w:p>
    <w:p w14:paraId="1F0472E6" w14:textId="77777777" w:rsidR="00762BAC" w:rsidRPr="00D854DC" w:rsidRDefault="00762BAC" w:rsidP="00762BAC">
      <w:pPr>
        <w:numPr>
          <w:ilvl w:val="0"/>
          <w:numId w:val="1"/>
        </w:numPr>
        <w:rPr>
          <w:rFonts w:asciiTheme="minorHAnsi" w:hAnsiTheme="minorHAnsi" w:cs="Arial"/>
        </w:rPr>
      </w:pPr>
      <w:r>
        <w:rPr>
          <w:rFonts w:asciiTheme="minorHAnsi" w:hAnsiTheme="minorHAnsi" w:cs="Arial"/>
        </w:rPr>
        <w:t>Katherine Pelletreau, Executive Director, Maine Association of Health Plans</w:t>
      </w:r>
    </w:p>
    <w:p w14:paraId="08B89961" w14:textId="77777777" w:rsidR="00DF08AD" w:rsidRDefault="00DF08AD" w:rsidP="00DF08AD">
      <w:pPr>
        <w:rPr>
          <w:rFonts w:ascii="Calibri" w:hAnsi="Calibri" w:cs="Arial"/>
        </w:rPr>
      </w:pPr>
    </w:p>
    <w:p w14:paraId="2CE0DE14" w14:textId="77777777" w:rsidR="00762BAC" w:rsidRDefault="00F90C04" w:rsidP="00DF08AD">
      <w:pPr>
        <w:numPr>
          <w:ilvl w:val="0"/>
          <w:numId w:val="1"/>
        </w:numPr>
        <w:jc w:val="both"/>
        <w:rPr>
          <w:rFonts w:asciiTheme="minorHAnsi" w:hAnsiTheme="minorHAnsi" w:cs="Arial"/>
        </w:rPr>
      </w:pPr>
      <w:r>
        <w:rPr>
          <w:rFonts w:asciiTheme="minorHAnsi" w:hAnsiTheme="minorHAnsi" w:cs="Arial"/>
        </w:rPr>
        <w:lastRenderedPageBreak/>
        <w:t xml:space="preserve">Kristine </w:t>
      </w:r>
      <w:r w:rsidR="00DF08AD" w:rsidRPr="00D854DC">
        <w:rPr>
          <w:rFonts w:asciiTheme="minorHAnsi" w:hAnsiTheme="minorHAnsi" w:cs="Arial"/>
        </w:rPr>
        <w:t xml:space="preserve">Ossenfort, Esq. </w:t>
      </w:r>
      <w:r w:rsidR="00762BAC">
        <w:rPr>
          <w:rFonts w:asciiTheme="minorHAnsi" w:hAnsiTheme="minorHAnsi" w:cs="Arial"/>
        </w:rPr>
        <w:t xml:space="preserve">Senior Director, </w:t>
      </w:r>
      <w:r w:rsidR="00DF08AD" w:rsidRPr="00D854DC">
        <w:rPr>
          <w:rFonts w:asciiTheme="minorHAnsi" w:hAnsiTheme="minorHAnsi" w:cs="Arial"/>
        </w:rPr>
        <w:t>Government Relations, Anthem Blue Cross and Blue Shield</w:t>
      </w:r>
    </w:p>
    <w:p w14:paraId="49B475D0" w14:textId="77777777" w:rsidR="00762BAC" w:rsidRDefault="00762BAC" w:rsidP="00762BAC">
      <w:pPr>
        <w:pStyle w:val="ListParagraph"/>
        <w:rPr>
          <w:rFonts w:ascii="Calibri" w:hAnsi="Calibri" w:cs="Arial"/>
          <w:b/>
        </w:rPr>
      </w:pPr>
    </w:p>
    <w:p w14:paraId="2B189085" w14:textId="77777777" w:rsidR="00DF08AD" w:rsidRPr="00762BAC" w:rsidRDefault="00DF08AD" w:rsidP="00762BAC">
      <w:pPr>
        <w:jc w:val="both"/>
        <w:rPr>
          <w:rFonts w:asciiTheme="minorHAnsi" w:hAnsiTheme="minorHAnsi" w:cs="Arial"/>
        </w:rPr>
      </w:pPr>
      <w:r w:rsidRPr="00762BAC">
        <w:rPr>
          <w:rFonts w:ascii="Calibri" w:hAnsi="Calibri" w:cs="Arial"/>
          <w:b/>
        </w:rPr>
        <w:t>Section II</w:t>
      </w:r>
      <w:r w:rsidR="0005255F" w:rsidRPr="00762BAC">
        <w:rPr>
          <w:rFonts w:ascii="Calibri" w:hAnsi="Calibri" w:cs="Arial"/>
          <w:b/>
        </w:rPr>
        <w:t>I</w:t>
      </w:r>
      <w:r w:rsidRPr="00762BAC">
        <w:rPr>
          <w:rFonts w:ascii="Calibri" w:hAnsi="Calibri" w:cs="Arial"/>
          <w:b/>
        </w:rPr>
        <w:t>. Summary of Comments Received by Submitter with Proposed Agency Response &amp; Action.</w:t>
      </w:r>
      <w:r w:rsidRPr="00762BAC">
        <w:rPr>
          <w:rFonts w:ascii="Calibri" w:hAnsi="Calibri" w:cs="Arial"/>
        </w:rPr>
        <w:t xml:space="preserve"> </w:t>
      </w:r>
    </w:p>
    <w:p w14:paraId="686CFDA1" w14:textId="77777777" w:rsidR="00F90C04" w:rsidRDefault="00F90C04" w:rsidP="00DF08AD">
      <w:pPr>
        <w:rPr>
          <w:rFonts w:ascii="Calibri" w:hAnsi="Calibri" w:cs="Arial"/>
          <w:sz w:val="28"/>
          <w:szCs w:val="28"/>
        </w:rPr>
      </w:pPr>
    </w:p>
    <w:p w14:paraId="384AF5FC" w14:textId="77777777" w:rsidR="00F90C04" w:rsidRPr="00D91604" w:rsidRDefault="00762BAC" w:rsidP="00504874">
      <w:pPr>
        <w:rPr>
          <w:rFonts w:asciiTheme="minorHAnsi" w:hAnsiTheme="minorHAnsi"/>
          <w:u w:val="single"/>
        </w:rPr>
      </w:pPr>
      <w:r w:rsidRPr="00D91604">
        <w:rPr>
          <w:rFonts w:asciiTheme="minorHAnsi" w:hAnsiTheme="minorHAnsi" w:cs="Arial"/>
          <w:u w:val="single"/>
        </w:rPr>
        <w:t>Maine Association of Health Plans</w:t>
      </w:r>
      <w:r w:rsidR="00F90C04" w:rsidRPr="00D91604">
        <w:rPr>
          <w:rFonts w:asciiTheme="minorHAnsi" w:hAnsiTheme="minorHAnsi"/>
          <w:u w:val="single"/>
        </w:rPr>
        <w:t xml:space="preserve"> </w:t>
      </w:r>
      <w:r w:rsidR="00616E9A" w:rsidRPr="00D91604">
        <w:rPr>
          <w:rFonts w:asciiTheme="minorHAnsi" w:hAnsiTheme="minorHAnsi"/>
          <w:u w:val="single"/>
        </w:rPr>
        <w:t>submitted the following comment</w:t>
      </w:r>
      <w:r w:rsidRPr="00D91604">
        <w:rPr>
          <w:rFonts w:asciiTheme="minorHAnsi" w:hAnsiTheme="minorHAnsi"/>
          <w:u w:val="single"/>
        </w:rPr>
        <w:t>s</w:t>
      </w:r>
      <w:r w:rsidR="00616E9A" w:rsidRPr="00D91604">
        <w:rPr>
          <w:rFonts w:asciiTheme="minorHAnsi" w:hAnsiTheme="minorHAnsi"/>
          <w:u w:val="single"/>
        </w:rPr>
        <w:t>:</w:t>
      </w:r>
    </w:p>
    <w:p w14:paraId="2ECB9EFD" w14:textId="77777777" w:rsidR="00616E9A" w:rsidRPr="00616E9A" w:rsidRDefault="00616E9A" w:rsidP="00616E9A">
      <w:pPr>
        <w:pStyle w:val="ListParagraph"/>
        <w:ind w:left="360"/>
        <w:rPr>
          <w:rFonts w:asciiTheme="minorHAnsi" w:hAnsiTheme="minorHAnsi"/>
        </w:rPr>
      </w:pPr>
    </w:p>
    <w:p w14:paraId="549F0C9A" w14:textId="77777777" w:rsidR="00262754" w:rsidRDefault="00CF6D92" w:rsidP="00A51CE0">
      <w:pPr>
        <w:pStyle w:val="Default"/>
        <w:rPr>
          <w:rFonts w:asciiTheme="minorHAnsi" w:hAnsiTheme="minorHAnsi"/>
        </w:rPr>
      </w:pPr>
      <w:r>
        <w:rPr>
          <w:rFonts w:asciiTheme="minorHAnsi" w:hAnsiTheme="minorHAnsi"/>
        </w:rPr>
        <w:t>Comment 1</w:t>
      </w:r>
      <w:r w:rsidR="00762BAC">
        <w:rPr>
          <w:rFonts w:asciiTheme="minorHAnsi" w:hAnsiTheme="minorHAnsi"/>
        </w:rPr>
        <w:t>:</w:t>
      </w:r>
    </w:p>
    <w:p w14:paraId="74B34EBA" w14:textId="77777777" w:rsidR="00CF6D92" w:rsidRDefault="00CF6D92" w:rsidP="00CF6D92">
      <w:pPr>
        <w:pStyle w:val="ListParagraph"/>
        <w:numPr>
          <w:ilvl w:val="0"/>
          <w:numId w:val="5"/>
        </w:numPr>
        <w:rPr>
          <w:rFonts w:asciiTheme="minorHAnsi" w:hAnsiTheme="minorHAnsi" w:cs="Arial"/>
        </w:rPr>
      </w:pPr>
      <w:r w:rsidRPr="00CF6D92">
        <w:rPr>
          <w:rFonts w:asciiTheme="minorHAnsi" w:hAnsiTheme="minorHAnsi" w:cs="Arial"/>
          <w:u w:val="single"/>
        </w:rPr>
        <w:t>System Limitation on the Number of Fields</w:t>
      </w:r>
      <w:r w:rsidRPr="00CF6D92">
        <w:rPr>
          <w:rFonts w:asciiTheme="minorHAnsi" w:hAnsiTheme="minorHAnsi" w:cs="Arial"/>
        </w:rPr>
        <w:t>: Currently, the Medical Claims report (Appendix D-2) contains 250 fields. One Plan’s system limitation is 255 fields. MHDO proposes to add 7 additional f</w:t>
      </w:r>
      <w:r w:rsidR="00A83D51">
        <w:rPr>
          <w:rFonts w:asciiTheme="minorHAnsi" w:hAnsiTheme="minorHAnsi" w:cs="Arial"/>
        </w:rPr>
        <w:t>ields to the report which increases the field count</w:t>
      </w:r>
      <w:r w:rsidRPr="00CF6D92">
        <w:rPr>
          <w:rFonts w:asciiTheme="minorHAnsi" w:hAnsiTheme="minorHAnsi" w:cs="Arial"/>
        </w:rPr>
        <w:t xml:space="preserve"> to 257. The current Medical Claims layout includes three placeholder fields. If MHDO would either drop those fields or utilize them for three of the new proposed fields, that should solve the problem.</w:t>
      </w:r>
    </w:p>
    <w:p w14:paraId="1DE02D29" w14:textId="77777777" w:rsidR="00B31B19" w:rsidRDefault="00B31B19" w:rsidP="00A83D51">
      <w:pPr>
        <w:rPr>
          <w:rFonts w:asciiTheme="minorHAnsi" w:hAnsiTheme="minorHAnsi"/>
          <w:b/>
        </w:rPr>
      </w:pPr>
    </w:p>
    <w:p w14:paraId="7B69C51B" w14:textId="1F5D1454" w:rsidR="00DB0276" w:rsidRPr="00622004" w:rsidRDefault="00B31B19" w:rsidP="007276BC">
      <w:pPr>
        <w:pStyle w:val="ListParagraph"/>
        <w:ind w:left="0"/>
        <w:rPr>
          <w:rFonts w:asciiTheme="minorHAnsi" w:hAnsiTheme="minorHAnsi"/>
          <w:b/>
        </w:rPr>
      </w:pPr>
      <w:r w:rsidRPr="00373173">
        <w:rPr>
          <w:rFonts w:asciiTheme="minorHAnsi" w:hAnsiTheme="minorHAnsi"/>
          <w:b/>
        </w:rPr>
        <w:t>MHDO Response:</w:t>
      </w:r>
      <w:r w:rsidR="00FB50F5" w:rsidRPr="00622004">
        <w:rPr>
          <w:rFonts w:asciiTheme="minorHAnsi" w:hAnsiTheme="minorHAnsi"/>
          <w:b/>
        </w:rPr>
        <w:t xml:space="preserve"> </w:t>
      </w:r>
      <w:r w:rsidR="001D0EA5" w:rsidRPr="00622004">
        <w:rPr>
          <w:rFonts w:asciiTheme="minorHAnsi" w:hAnsiTheme="minorHAnsi"/>
          <w:b/>
        </w:rPr>
        <w:t xml:space="preserve">  </w:t>
      </w:r>
      <w:r w:rsidR="001D0EA5" w:rsidRPr="00622004">
        <w:rPr>
          <w:rFonts w:asciiTheme="minorHAnsi" w:hAnsiTheme="minorHAnsi"/>
        </w:rPr>
        <w:t>M</w:t>
      </w:r>
      <w:r w:rsidR="001D0EA5" w:rsidRPr="007276BC">
        <w:rPr>
          <w:rFonts w:asciiTheme="minorHAnsi" w:hAnsiTheme="minorHAnsi"/>
        </w:rPr>
        <w:t xml:space="preserve">HDO will </w:t>
      </w:r>
      <w:r w:rsidR="005C6415" w:rsidRPr="00622004">
        <w:rPr>
          <w:rFonts w:asciiTheme="minorHAnsi" w:hAnsiTheme="minorHAnsi"/>
        </w:rPr>
        <w:t>remove</w:t>
      </w:r>
      <w:r w:rsidR="001D0EA5" w:rsidRPr="00622004">
        <w:rPr>
          <w:rFonts w:asciiTheme="minorHAnsi" w:hAnsiTheme="minorHAnsi"/>
        </w:rPr>
        <w:t xml:space="preserve"> the </w:t>
      </w:r>
      <w:r w:rsidR="005C6415" w:rsidRPr="00622004">
        <w:rPr>
          <w:rFonts w:asciiTheme="minorHAnsi" w:hAnsiTheme="minorHAnsi"/>
        </w:rPr>
        <w:t>proposed</w:t>
      </w:r>
      <w:r w:rsidR="001D0EA5" w:rsidRPr="00622004">
        <w:rPr>
          <w:rFonts w:asciiTheme="minorHAnsi" w:hAnsiTheme="minorHAnsi"/>
        </w:rPr>
        <w:t xml:space="preserve"> fields for HICN and MBI from the </w:t>
      </w:r>
      <w:r w:rsidR="001D0EA5" w:rsidRPr="007276BC">
        <w:rPr>
          <w:rFonts w:asciiTheme="minorHAnsi" w:hAnsiTheme="minorHAnsi"/>
        </w:rPr>
        <w:t>medical</w:t>
      </w:r>
      <w:r w:rsidR="005F7D82" w:rsidRPr="00622004">
        <w:rPr>
          <w:rFonts w:asciiTheme="minorHAnsi" w:hAnsiTheme="minorHAnsi"/>
        </w:rPr>
        <w:t xml:space="preserve">, </w:t>
      </w:r>
      <w:r w:rsidR="005C6415" w:rsidRPr="00622004">
        <w:rPr>
          <w:rFonts w:asciiTheme="minorHAnsi" w:hAnsiTheme="minorHAnsi"/>
        </w:rPr>
        <w:t>pharma</w:t>
      </w:r>
      <w:r w:rsidR="005C6415" w:rsidRPr="007276BC">
        <w:rPr>
          <w:rFonts w:asciiTheme="minorHAnsi" w:hAnsiTheme="minorHAnsi"/>
        </w:rPr>
        <w:t>cy and dental</w:t>
      </w:r>
      <w:r w:rsidR="001D0EA5" w:rsidRPr="00622004">
        <w:rPr>
          <w:rFonts w:asciiTheme="minorHAnsi" w:hAnsiTheme="minorHAnsi"/>
        </w:rPr>
        <w:t xml:space="preserve"> claims file and </w:t>
      </w:r>
      <w:r w:rsidR="005C6415" w:rsidRPr="00622004">
        <w:rPr>
          <w:rFonts w:asciiTheme="minorHAnsi" w:hAnsiTheme="minorHAnsi"/>
        </w:rPr>
        <w:t xml:space="preserve">only retain them in </w:t>
      </w:r>
      <w:r w:rsidR="001D0EA5" w:rsidRPr="00622004">
        <w:rPr>
          <w:rFonts w:asciiTheme="minorHAnsi" w:hAnsiTheme="minorHAnsi"/>
        </w:rPr>
        <w:t>the eligibility file.</w:t>
      </w:r>
      <w:r w:rsidR="00001FD5" w:rsidRPr="00622004">
        <w:rPr>
          <w:rFonts w:asciiTheme="minorHAnsi" w:hAnsiTheme="minorHAnsi"/>
          <w:b/>
        </w:rPr>
        <w:t xml:space="preserve"> </w:t>
      </w:r>
    </w:p>
    <w:p w14:paraId="45AA61E9" w14:textId="77777777" w:rsidR="00080773" w:rsidRDefault="00080773" w:rsidP="00A83D51">
      <w:pPr>
        <w:rPr>
          <w:rFonts w:asciiTheme="minorHAnsi" w:hAnsiTheme="minorHAnsi"/>
        </w:rPr>
      </w:pPr>
    </w:p>
    <w:p w14:paraId="347AF126" w14:textId="0C20AC2C" w:rsidR="00A83D51" w:rsidRPr="00867239" w:rsidRDefault="00080773" w:rsidP="00080773">
      <w:pPr>
        <w:pStyle w:val="Default"/>
        <w:rPr>
          <w:rFonts w:asciiTheme="minorHAnsi" w:hAnsiTheme="minorHAnsi"/>
          <w:u w:val="single"/>
        </w:rPr>
      </w:pPr>
      <w:r w:rsidRPr="00C12C0C">
        <w:rPr>
          <w:rFonts w:asciiTheme="minorHAnsi" w:hAnsiTheme="minorHAnsi"/>
          <w:b/>
        </w:rPr>
        <w:t>Board Action:</w:t>
      </w:r>
      <w:r>
        <w:rPr>
          <w:rFonts w:asciiTheme="minorHAnsi" w:hAnsiTheme="minorHAnsi"/>
          <w:b/>
        </w:rPr>
        <w:t xml:space="preserve">  </w:t>
      </w:r>
      <w:r w:rsidR="00A41D85" w:rsidRPr="00867239">
        <w:rPr>
          <w:rFonts w:asciiTheme="minorHAnsi" w:hAnsiTheme="minorHAnsi"/>
        </w:rPr>
        <w:t>Board approved MHDO Response to Comment – no further action required.</w:t>
      </w:r>
    </w:p>
    <w:p w14:paraId="6B821FE9" w14:textId="77777777" w:rsidR="00F04828" w:rsidRPr="00CF6D92" w:rsidRDefault="00F04828" w:rsidP="00F04828">
      <w:pPr>
        <w:pStyle w:val="ListParagraph"/>
        <w:rPr>
          <w:rFonts w:asciiTheme="minorHAnsi" w:hAnsiTheme="minorHAnsi" w:cs="Arial"/>
        </w:rPr>
      </w:pPr>
    </w:p>
    <w:p w14:paraId="7A0F1711" w14:textId="77777777" w:rsidR="00CF6D92" w:rsidRPr="00CF6D92" w:rsidRDefault="00CF6D92" w:rsidP="00CF6D92">
      <w:pPr>
        <w:rPr>
          <w:rFonts w:asciiTheme="minorHAnsi" w:hAnsiTheme="minorHAnsi" w:cs="Arial"/>
        </w:rPr>
      </w:pPr>
      <w:r>
        <w:rPr>
          <w:rFonts w:asciiTheme="minorHAnsi" w:hAnsiTheme="minorHAnsi" w:cs="Arial"/>
        </w:rPr>
        <w:t>Comment 2:</w:t>
      </w:r>
    </w:p>
    <w:p w14:paraId="2FF4D6E5" w14:textId="77777777" w:rsidR="00CF6D92" w:rsidRDefault="00CF6D92" w:rsidP="00CF6D92">
      <w:pPr>
        <w:pStyle w:val="ListParagraph"/>
        <w:numPr>
          <w:ilvl w:val="0"/>
          <w:numId w:val="5"/>
        </w:numPr>
        <w:rPr>
          <w:rFonts w:asciiTheme="minorHAnsi" w:hAnsiTheme="minorHAnsi" w:cs="Arial"/>
        </w:rPr>
      </w:pPr>
      <w:r w:rsidRPr="00CF6D92">
        <w:rPr>
          <w:rFonts w:asciiTheme="minorHAnsi" w:hAnsiTheme="minorHAnsi" w:cs="Arial"/>
          <w:u w:val="single"/>
        </w:rPr>
        <w:t>MBI</w:t>
      </w:r>
      <w:r w:rsidRPr="00CF6D92">
        <w:rPr>
          <w:rFonts w:asciiTheme="minorHAnsi" w:hAnsiTheme="minorHAnsi" w:cs="Arial"/>
        </w:rPr>
        <w:t>:  At least one MeAHP member’s proprietary system does not hold MBI.  Although they may be able to obtain it for Medicare Part D business, it will incur additional administrative burden and expense to do so.</w:t>
      </w:r>
    </w:p>
    <w:p w14:paraId="5EE4E26F" w14:textId="77777777" w:rsidR="00F04828" w:rsidRDefault="00F04828" w:rsidP="00F04828">
      <w:pPr>
        <w:pStyle w:val="ListParagraph"/>
        <w:rPr>
          <w:rFonts w:asciiTheme="minorHAnsi" w:hAnsiTheme="minorHAnsi" w:cs="Arial"/>
        </w:rPr>
      </w:pPr>
    </w:p>
    <w:p w14:paraId="0DCFB4F6" w14:textId="77777777" w:rsidR="00B31B19" w:rsidRDefault="00080773" w:rsidP="00080773">
      <w:pPr>
        <w:pStyle w:val="ListParagraph"/>
        <w:ind w:left="0"/>
        <w:rPr>
          <w:rFonts w:asciiTheme="minorHAnsi" w:hAnsiTheme="minorHAnsi"/>
        </w:rPr>
      </w:pPr>
      <w:r w:rsidRPr="00373173">
        <w:rPr>
          <w:rFonts w:asciiTheme="minorHAnsi" w:hAnsiTheme="minorHAnsi"/>
          <w:b/>
        </w:rPr>
        <w:t>MHDO Response:</w:t>
      </w:r>
      <w:r w:rsidR="00F3205C">
        <w:rPr>
          <w:rFonts w:asciiTheme="minorHAnsi" w:hAnsiTheme="minorHAnsi"/>
        </w:rPr>
        <w:t xml:space="preserve">  </w:t>
      </w:r>
      <w:r w:rsidR="001D0EA5">
        <w:rPr>
          <w:rFonts w:asciiTheme="minorHAnsi" w:hAnsiTheme="minorHAnsi"/>
        </w:rPr>
        <w:t xml:space="preserve">  </w:t>
      </w:r>
      <w:r w:rsidR="00DA46F2">
        <w:rPr>
          <w:rFonts w:asciiTheme="minorHAnsi" w:hAnsiTheme="minorHAnsi"/>
        </w:rPr>
        <w:t>If a payer</w:t>
      </w:r>
      <w:r w:rsidR="00B8640F">
        <w:rPr>
          <w:rFonts w:asciiTheme="minorHAnsi" w:hAnsiTheme="minorHAnsi"/>
        </w:rPr>
        <w:t xml:space="preserve"> does not </w:t>
      </w:r>
      <w:r w:rsidR="001D0EA5">
        <w:rPr>
          <w:rFonts w:asciiTheme="minorHAnsi" w:hAnsiTheme="minorHAnsi"/>
        </w:rPr>
        <w:t>collect the</w:t>
      </w:r>
      <w:r w:rsidR="00B8640F">
        <w:rPr>
          <w:rFonts w:asciiTheme="minorHAnsi" w:hAnsiTheme="minorHAnsi"/>
        </w:rPr>
        <w:t xml:space="preserve"> MBI</w:t>
      </w:r>
      <w:r w:rsidR="001D0EA5">
        <w:rPr>
          <w:rFonts w:asciiTheme="minorHAnsi" w:hAnsiTheme="minorHAnsi"/>
        </w:rPr>
        <w:t xml:space="preserve"> from </w:t>
      </w:r>
      <w:r w:rsidR="005232C2">
        <w:rPr>
          <w:rFonts w:asciiTheme="minorHAnsi" w:hAnsiTheme="minorHAnsi"/>
        </w:rPr>
        <w:t>Medicare,</w:t>
      </w:r>
      <w:r w:rsidR="001D0EA5">
        <w:rPr>
          <w:rFonts w:asciiTheme="minorHAnsi" w:hAnsiTheme="minorHAnsi"/>
        </w:rPr>
        <w:t xml:space="preserve"> then</w:t>
      </w:r>
      <w:r w:rsidR="003C1D13">
        <w:rPr>
          <w:rFonts w:asciiTheme="minorHAnsi" w:hAnsiTheme="minorHAnsi"/>
        </w:rPr>
        <w:t xml:space="preserve"> it can</w:t>
      </w:r>
      <w:r w:rsidR="004009A5">
        <w:rPr>
          <w:rFonts w:asciiTheme="minorHAnsi" w:hAnsiTheme="minorHAnsi"/>
        </w:rPr>
        <w:t xml:space="preserve"> request an</w:t>
      </w:r>
      <w:r w:rsidR="0048339E">
        <w:rPr>
          <w:rFonts w:asciiTheme="minorHAnsi" w:hAnsiTheme="minorHAnsi"/>
        </w:rPr>
        <w:t xml:space="preserve"> exemption</w:t>
      </w:r>
      <w:r w:rsidR="001D0EA5">
        <w:rPr>
          <w:rFonts w:asciiTheme="minorHAnsi" w:hAnsiTheme="minorHAnsi"/>
        </w:rPr>
        <w:t xml:space="preserve"> from the MHDO</w:t>
      </w:r>
      <w:r w:rsidR="0048339E">
        <w:rPr>
          <w:rFonts w:asciiTheme="minorHAnsi" w:hAnsiTheme="minorHAnsi"/>
        </w:rPr>
        <w:t xml:space="preserve">. </w:t>
      </w:r>
      <w:r w:rsidR="00DA46F2">
        <w:rPr>
          <w:rFonts w:asciiTheme="minorHAnsi" w:hAnsiTheme="minorHAnsi"/>
        </w:rPr>
        <w:t>In any case, p</w:t>
      </w:r>
      <w:r w:rsidR="00EA131B">
        <w:rPr>
          <w:rFonts w:asciiTheme="minorHAnsi" w:hAnsiTheme="minorHAnsi"/>
        </w:rPr>
        <w:t>ayer files must be submitted in the</w:t>
      </w:r>
      <w:r w:rsidR="00DA46F2">
        <w:rPr>
          <w:rFonts w:asciiTheme="minorHAnsi" w:hAnsiTheme="minorHAnsi"/>
        </w:rPr>
        <w:t xml:space="preserve"> same format and </w:t>
      </w:r>
      <w:r w:rsidR="00EA131B">
        <w:rPr>
          <w:rFonts w:asciiTheme="minorHAnsi" w:hAnsiTheme="minorHAnsi"/>
        </w:rPr>
        <w:t xml:space="preserve">with the same number of </w:t>
      </w:r>
      <w:r w:rsidR="00DA46F2">
        <w:rPr>
          <w:rFonts w:asciiTheme="minorHAnsi" w:hAnsiTheme="minorHAnsi"/>
        </w:rPr>
        <w:t>fields</w:t>
      </w:r>
      <w:r w:rsidR="0048339E">
        <w:rPr>
          <w:rFonts w:asciiTheme="minorHAnsi" w:hAnsiTheme="minorHAnsi"/>
        </w:rPr>
        <w:t>, whether the fields can be populated or not.</w:t>
      </w:r>
    </w:p>
    <w:p w14:paraId="745E05C6" w14:textId="77777777" w:rsidR="00080773" w:rsidRDefault="00080773" w:rsidP="00080773">
      <w:pPr>
        <w:pStyle w:val="ListParagraph"/>
        <w:ind w:left="0"/>
        <w:rPr>
          <w:rFonts w:asciiTheme="minorHAnsi" w:hAnsiTheme="minorHAnsi"/>
        </w:rPr>
      </w:pPr>
    </w:p>
    <w:p w14:paraId="6FBD8EB2" w14:textId="77777777" w:rsidR="00A41D85" w:rsidRPr="0003395B" w:rsidRDefault="00080773" w:rsidP="00A41D85">
      <w:pPr>
        <w:pStyle w:val="Default"/>
        <w:rPr>
          <w:rFonts w:asciiTheme="minorHAnsi" w:hAnsiTheme="minorHAnsi"/>
          <w:u w:val="single"/>
        </w:rPr>
      </w:pPr>
      <w:r w:rsidRPr="00C12C0C">
        <w:rPr>
          <w:rFonts w:asciiTheme="minorHAnsi" w:hAnsiTheme="minorHAnsi"/>
          <w:b/>
        </w:rPr>
        <w:t>Board Action:</w:t>
      </w:r>
      <w:r>
        <w:rPr>
          <w:rFonts w:asciiTheme="minorHAnsi" w:hAnsiTheme="minorHAnsi"/>
          <w:b/>
        </w:rPr>
        <w:t xml:space="preserve">  </w:t>
      </w:r>
      <w:r w:rsidR="00A41D85" w:rsidRPr="0003395B">
        <w:rPr>
          <w:rFonts w:asciiTheme="minorHAnsi" w:hAnsiTheme="minorHAnsi"/>
        </w:rPr>
        <w:t>Board approved MHDO Response to Comment – no further action required.</w:t>
      </w:r>
    </w:p>
    <w:p w14:paraId="50AEBDC2" w14:textId="77777777" w:rsidR="00080773" w:rsidRPr="00CF6D92" w:rsidRDefault="00080773" w:rsidP="00080773">
      <w:pPr>
        <w:pStyle w:val="ListParagraph"/>
        <w:ind w:left="0"/>
        <w:rPr>
          <w:rFonts w:asciiTheme="minorHAnsi" w:hAnsiTheme="minorHAnsi" w:cs="Arial"/>
        </w:rPr>
      </w:pPr>
    </w:p>
    <w:p w14:paraId="5AB291A5" w14:textId="77777777" w:rsidR="00F04828" w:rsidRDefault="00CF6D92" w:rsidP="00F04828">
      <w:pPr>
        <w:pStyle w:val="ListParagraph"/>
        <w:ind w:left="0"/>
        <w:rPr>
          <w:rFonts w:asciiTheme="minorHAnsi" w:hAnsiTheme="minorHAnsi" w:cs="Arial"/>
        </w:rPr>
      </w:pPr>
      <w:r>
        <w:rPr>
          <w:rFonts w:asciiTheme="minorHAnsi" w:hAnsiTheme="minorHAnsi" w:cs="Arial"/>
        </w:rPr>
        <w:t>Comment 3:</w:t>
      </w:r>
    </w:p>
    <w:p w14:paraId="0F8A3C70" w14:textId="77777777" w:rsidR="00CF6D92" w:rsidRPr="00B970A8" w:rsidRDefault="00CF6D92" w:rsidP="00B970A8">
      <w:pPr>
        <w:pStyle w:val="ListParagraph"/>
        <w:numPr>
          <w:ilvl w:val="0"/>
          <w:numId w:val="5"/>
        </w:numPr>
        <w:rPr>
          <w:rFonts w:asciiTheme="minorHAnsi" w:hAnsiTheme="minorHAnsi" w:cs="Arial"/>
        </w:rPr>
      </w:pPr>
      <w:r w:rsidRPr="00F04828">
        <w:rPr>
          <w:rFonts w:asciiTheme="minorHAnsi" w:hAnsiTheme="minorHAnsi" w:cs="Arial"/>
          <w:u w:val="single"/>
        </w:rPr>
        <w:t>Duplication of Field Information</w:t>
      </w:r>
      <w:r w:rsidRPr="00F04828">
        <w:rPr>
          <w:rFonts w:asciiTheme="minorHAnsi" w:hAnsiTheme="minorHAnsi" w:cs="Arial"/>
        </w:rPr>
        <w:t>: On all files (dental, medical, eligibility and pharmacy) there are 4 new fields being added for subscriber and member HICN and subscriber and member MBI.  The member HICN and member MBI would be a duplication of the field, as the subscriber is always the member on Medicare Advantage plans. </w:t>
      </w:r>
      <w:r w:rsidRPr="00B970A8">
        <w:rPr>
          <w:rFonts w:asciiTheme="minorHAnsi" w:hAnsiTheme="minorHAnsi" w:cs="Arial"/>
        </w:rPr>
        <w:t>Moreover, one of our Plans is unable to provide both HICN and MBI, only one or the other.  We suggest that Plans be permitted to choose their preference between the two numbers and submit what they have.</w:t>
      </w:r>
    </w:p>
    <w:p w14:paraId="453D51D4" w14:textId="77777777" w:rsidR="00F04828" w:rsidRDefault="00F04828" w:rsidP="00080773">
      <w:pPr>
        <w:pStyle w:val="ListParagraph"/>
        <w:ind w:left="0"/>
        <w:rPr>
          <w:rFonts w:asciiTheme="minorHAnsi" w:hAnsiTheme="minorHAnsi" w:cs="Arial"/>
        </w:rPr>
      </w:pPr>
    </w:p>
    <w:p w14:paraId="5C79143F" w14:textId="77777777" w:rsidR="00080773" w:rsidRDefault="00080773" w:rsidP="00080773">
      <w:pPr>
        <w:pStyle w:val="ListParagraph"/>
        <w:ind w:left="0"/>
        <w:rPr>
          <w:rFonts w:asciiTheme="minorHAnsi" w:hAnsiTheme="minorHAnsi"/>
        </w:rPr>
      </w:pPr>
      <w:r w:rsidRPr="00373173">
        <w:rPr>
          <w:rFonts w:asciiTheme="minorHAnsi" w:hAnsiTheme="minorHAnsi"/>
          <w:b/>
        </w:rPr>
        <w:t>MHDO Response:</w:t>
      </w:r>
      <w:r w:rsidRPr="00373173">
        <w:rPr>
          <w:rFonts w:asciiTheme="minorHAnsi" w:hAnsiTheme="minorHAnsi"/>
        </w:rPr>
        <w:t xml:space="preserve">   </w:t>
      </w:r>
      <w:r w:rsidR="004009A5">
        <w:rPr>
          <w:rFonts w:asciiTheme="minorHAnsi" w:hAnsiTheme="minorHAnsi"/>
        </w:rPr>
        <w:t>As stated in a previous response</w:t>
      </w:r>
      <w:r w:rsidR="009E4B3B">
        <w:rPr>
          <w:rFonts w:asciiTheme="minorHAnsi" w:hAnsiTheme="minorHAnsi"/>
        </w:rPr>
        <w:t>,</w:t>
      </w:r>
      <w:r w:rsidR="004009A5">
        <w:rPr>
          <w:rFonts w:asciiTheme="minorHAnsi" w:hAnsiTheme="minorHAnsi"/>
        </w:rPr>
        <w:t xml:space="preserve"> the MHDO is removing the </w:t>
      </w:r>
      <w:r w:rsidR="004A5C05">
        <w:rPr>
          <w:rFonts w:asciiTheme="minorHAnsi" w:hAnsiTheme="minorHAnsi"/>
        </w:rPr>
        <w:t xml:space="preserve">new fields from the medical, dental and pharmacy files and only </w:t>
      </w:r>
      <w:r w:rsidR="009E4B3B">
        <w:rPr>
          <w:rFonts w:asciiTheme="minorHAnsi" w:hAnsiTheme="minorHAnsi"/>
        </w:rPr>
        <w:t>retaining them in</w:t>
      </w:r>
      <w:r w:rsidR="004A5C05">
        <w:rPr>
          <w:rFonts w:asciiTheme="minorHAnsi" w:hAnsiTheme="minorHAnsi"/>
        </w:rPr>
        <w:t xml:space="preserve"> the eligibility file.  </w:t>
      </w:r>
      <w:r w:rsidR="004009A5">
        <w:rPr>
          <w:rFonts w:asciiTheme="minorHAnsi" w:hAnsiTheme="minorHAnsi"/>
        </w:rPr>
        <w:t xml:space="preserve">The MHDO does not expect </w:t>
      </w:r>
      <w:r w:rsidR="009E4B3B">
        <w:rPr>
          <w:rFonts w:asciiTheme="minorHAnsi" w:hAnsiTheme="minorHAnsi"/>
        </w:rPr>
        <w:t xml:space="preserve">simultaneous </w:t>
      </w:r>
      <w:r w:rsidR="004009A5">
        <w:rPr>
          <w:rFonts w:asciiTheme="minorHAnsi" w:hAnsiTheme="minorHAnsi"/>
        </w:rPr>
        <w:t xml:space="preserve">population </w:t>
      </w:r>
      <w:r w:rsidR="00744371">
        <w:rPr>
          <w:rFonts w:asciiTheme="minorHAnsi" w:hAnsiTheme="minorHAnsi"/>
        </w:rPr>
        <w:t>of both the HICN an</w:t>
      </w:r>
      <w:r w:rsidR="00D21B89">
        <w:rPr>
          <w:rFonts w:asciiTheme="minorHAnsi" w:hAnsiTheme="minorHAnsi"/>
        </w:rPr>
        <w:t>d MBI fields, nor frequent or regular population of</w:t>
      </w:r>
      <w:r w:rsidR="004009A5">
        <w:rPr>
          <w:rFonts w:asciiTheme="minorHAnsi" w:hAnsiTheme="minorHAnsi"/>
        </w:rPr>
        <w:t xml:space="preserve"> </w:t>
      </w:r>
      <w:r w:rsidR="00D21B89">
        <w:rPr>
          <w:rFonts w:asciiTheme="minorHAnsi" w:hAnsiTheme="minorHAnsi"/>
        </w:rPr>
        <w:t xml:space="preserve">Member HICN or Member MBI. </w:t>
      </w:r>
      <w:r w:rsidR="004A5C05">
        <w:rPr>
          <w:rFonts w:asciiTheme="minorHAnsi" w:hAnsiTheme="minorHAnsi"/>
        </w:rPr>
        <w:t xml:space="preserve">To help clarify when these fields should be populated, the </w:t>
      </w:r>
      <w:r w:rsidR="004009A5">
        <w:rPr>
          <w:rFonts w:asciiTheme="minorHAnsi" w:hAnsiTheme="minorHAnsi"/>
        </w:rPr>
        <w:t xml:space="preserve">MHDO has added language to Appendix </w:t>
      </w:r>
      <w:r w:rsidR="004A5C05">
        <w:rPr>
          <w:rFonts w:asciiTheme="minorHAnsi" w:hAnsiTheme="minorHAnsi"/>
        </w:rPr>
        <w:t>C1, page 23 of Rule Chapter 243.</w:t>
      </w:r>
      <w:r w:rsidR="003170B1">
        <w:rPr>
          <w:rFonts w:asciiTheme="minorHAnsi" w:hAnsiTheme="minorHAnsi"/>
        </w:rPr>
        <w:t xml:space="preserve"> </w:t>
      </w:r>
    </w:p>
    <w:p w14:paraId="2C0A93BF" w14:textId="77777777" w:rsidR="009E4B3B" w:rsidRDefault="009E4B3B" w:rsidP="00080773">
      <w:pPr>
        <w:pStyle w:val="Default"/>
        <w:rPr>
          <w:rFonts w:asciiTheme="minorHAnsi" w:hAnsiTheme="minorHAnsi"/>
          <w:b/>
        </w:rPr>
      </w:pPr>
    </w:p>
    <w:p w14:paraId="2B133752" w14:textId="77777777" w:rsidR="00A41D85" w:rsidRPr="0003395B" w:rsidRDefault="00080773" w:rsidP="00A41D85">
      <w:pPr>
        <w:pStyle w:val="Default"/>
        <w:rPr>
          <w:rFonts w:asciiTheme="minorHAnsi" w:hAnsiTheme="minorHAnsi"/>
          <w:u w:val="single"/>
        </w:rPr>
      </w:pPr>
      <w:r w:rsidRPr="00C12C0C">
        <w:rPr>
          <w:rFonts w:asciiTheme="minorHAnsi" w:hAnsiTheme="minorHAnsi"/>
          <w:b/>
        </w:rPr>
        <w:t>Board Action:</w:t>
      </w:r>
      <w:r w:rsidR="00A41D85">
        <w:rPr>
          <w:rFonts w:asciiTheme="minorHAnsi" w:hAnsiTheme="minorHAnsi"/>
          <w:b/>
        </w:rPr>
        <w:t xml:space="preserve"> </w:t>
      </w:r>
      <w:r w:rsidR="00A41D85" w:rsidRPr="0003395B">
        <w:rPr>
          <w:rFonts w:asciiTheme="minorHAnsi" w:hAnsiTheme="minorHAnsi"/>
        </w:rPr>
        <w:t>Board approved MHDO Response to Comment – no further action required.</w:t>
      </w:r>
    </w:p>
    <w:p w14:paraId="30B1A597" w14:textId="77777777" w:rsidR="00080773" w:rsidRPr="00F04828" w:rsidRDefault="00080773" w:rsidP="00867239">
      <w:pPr>
        <w:pStyle w:val="Default"/>
      </w:pPr>
    </w:p>
    <w:p w14:paraId="2A2A52D2" w14:textId="77777777" w:rsidR="00CF6D92" w:rsidRPr="00CF6D92" w:rsidRDefault="00CF6D92" w:rsidP="00CF6D92">
      <w:pPr>
        <w:pStyle w:val="ListParagraph"/>
        <w:ind w:left="0"/>
        <w:rPr>
          <w:rFonts w:asciiTheme="minorHAnsi" w:hAnsiTheme="minorHAnsi" w:cs="Arial"/>
        </w:rPr>
      </w:pPr>
      <w:r>
        <w:rPr>
          <w:rFonts w:asciiTheme="minorHAnsi" w:hAnsiTheme="minorHAnsi" w:cs="Arial"/>
        </w:rPr>
        <w:t>Comment 4:</w:t>
      </w:r>
    </w:p>
    <w:p w14:paraId="34B80846" w14:textId="77777777" w:rsidR="00CF6D92" w:rsidRPr="00CF6D92" w:rsidRDefault="00CF6D92" w:rsidP="00CF6D92">
      <w:pPr>
        <w:pStyle w:val="ListParagraph"/>
        <w:numPr>
          <w:ilvl w:val="0"/>
          <w:numId w:val="6"/>
        </w:numPr>
        <w:rPr>
          <w:rFonts w:asciiTheme="minorHAnsi" w:hAnsiTheme="minorHAnsi" w:cs="Arial"/>
        </w:rPr>
      </w:pPr>
      <w:r w:rsidRPr="00CF6D92">
        <w:rPr>
          <w:rFonts w:asciiTheme="minorHAnsi" w:hAnsiTheme="minorHAnsi" w:cs="Arial"/>
          <w:u w:val="single"/>
        </w:rPr>
        <w:t>Effective Date</w:t>
      </w:r>
      <w:r w:rsidRPr="00CF6D92">
        <w:rPr>
          <w:rFonts w:asciiTheme="minorHAnsi" w:hAnsiTheme="minorHAnsi" w:cs="Arial"/>
        </w:rPr>
        <w:t xml:space="preserve">:  The effective date for submission of these new reporting requirements is aggressive and provides insufficient time to adapt systems to accommodate the new rules.  MeAHP requests that the MHDO consider an effective date of April 1, 2018 with October 1, 2018 as the first report date to include the newly adopted fields.  </w:t>
      </w:r>
    </w:p>
    <w:p w14:paraId="132231EF" w14:textId="77777777" w:rsidR="00CF6D92" w:rsidRPr="00CF6D92" w:rsidRDefault="00CF6D92" w:rsidP="00CF6D92">
      <w:pPr>
        <w:rPr>
          <w:rFonts w:asciiTheme="minorHAnsi" w:hAnsiTheme="minorHAnsi" w:cs="Arial"/>
        </w:rPr>
      </w:pPr>
    </w:p>
    <w:p w14:paraId="21E262C3" w14:textId="77777777" w:rsidR="00262754" w:rsidRPr="00373173" w:rsidRDefault="00080773" w:rsidP="00F870C6">
      <w:pPr>
        <w:pStyle w:val="Default"/>
        <w:rPr>
          <w:rFonts w:asciiTheme="minorHAnsi" w:hAnsiTheme="minorHAnsi"/>
        </w:rPr>
      </w:pPr>
      <w:r w:rsidRPr="00373173">
        <w:rPr>
          <w:rFonts w:asciiTheme="minorHAnsi" w:hAnsiTheme="minorHAnsi"/>
          <w:b/>
        </w:rPr>
        <w:t>MHDO Response:</w:t>
      </w:r>
      <w:r w:rsidR="00CA6E75">
        <w:rPr>
          <w:rFonts w:asciiTheme="minorHAnsi" w:hAnsiTheme="minorHAnsi"/>
        </w:rPr>
        <w:t xml:space="preserve">  </w:t>
      </w:r>
      <w:r w:rsidR="009F0E1D">
        <w:rPr>
          <w:rFonts w:asciiTheme="minorHAnsi" w:hAnsiTheme="minorHAnsi"/>
        </w:rPr>
        <w:t xml:space="preserve"> MHDO has updated the effective dates in Appendix C-1 and will </w:t>
      </w:r>
      <w:r w:rsidR="004A5C05">
        <w:rPr>
          <w:rFonts w:asciiTheme="minorHAnsi" w:hAnsiTheme="minorHAnsi"/>
        </w:rPr>
        <w:t xml:space="preserve">clarify with the payers during our webinar that the first </w:t>
      </w:r>
      <w:r w:rsidR="00385BE2">
        <w:rPr>
          <w:rFonts w:asciiTheme="minorHAnsi" w:hAnsiTheme="minorHAnsi"/>
        </w:rPr>
        <w:t>file</w:t>
      </w:r>
      <w:r w:rsidR="009E546C">
        <w:rPr>
          <w:rFonts w:asciiTheme="minorHAnsi" w:hAnsiTheme="minorHAnsi"/>
        </w:rPr>
        <w:t xml:space="preserve"> submission</w:t>
      </w:r>
      <w:r w:rsidR="009F0E1D">
        <w:rPr>
          <w:rFonts w:asciiTheme="minorHAnsi" w:hAnsiTheme="minorHAnsi"/>
        </w:rPr>
        <w:t>s</w:t>
      </w:r>
      <w:r w:rsidR="004A5C05">
        <w:rPr>
          <w:rFonts w:asciiTheme="minorHAnsi" w:hAnsiTheme="minorHAnsi"/>
        </w:rPr>
        <w:t xml:space="preserve"> to include the newly adopted</w:t>
      </w:r>
      <w:r w:rsidR="009E546C">
        <w:rPr>
          <w:rFonts w:asciiTheme="minorHAnsi" w:hAnsiTheme="minorHAnsi"/>
        </w:rPr>
        <w:t xml:space="preserve"> format and fields will be January 2019 data starting February</w:t>
      </w:r>
      <w:r w:rsidR="0041628E">
        <w:rPr>
          <w:rFonts w:asciiTheme="minorHAnsi" w:hAnsiTheme="minorHAnsi"/>
        </w:rPr>
        <w:t xml:space="preserve"> 1, 2019</w:t>
      </w:r>
      <w:r w:rsidR="004A5C05">
        <w:rPr>
          <w:rFonts w:asciiTheme="minorHAnsi" w:hAnsiTheme="minorHAnsi"/>
        </w:rPr>
        <w:t>.</w:t>
      </w:r>
    </w:p>
    <w:p w14:paraId="04F38A84" w14:textId="77777777" w:rsidR="00385BE2" w:rsidRDefault="00385BE2" w:rsidP="00F90C04">
      <w:pPr>
        <w:rPr>
          <w:rFonts w:asciiTheme="minorHAnsi" w:hAnsiTheme="minorHAnsi"/>
          <w:b/>
        </w:rPr>
      </w:pPr>
    </w:p>
    <w:p w14:paraId="1FED6333" w14:textId="77777777" w:rsidR="00A41D85" w:rsidRPr="0003395B" w:rsidRDefault="00080773" w:rsidP="00A41D85">
      <w:pPr>
        <w:pStyle w:val="Default"/>
        <w:rPr>
          <w:rFonts w:asciiTheme="minorHAnsi" w:hAnsiTheme="minorHAnsi"/>
          <w:u w:val="single"/>
        </w:rPr>
      </w:pPr>
      <w:r w:rsidRPr="00C12C0C">
        <w:rPr>
          <w:rFonts w:asciiTheme="minorHAnsi" w:hAnsiTheme="minorHAnsi"/>
          <w:b/>
        </w:rPr>
        <w:t>Board Action:</w:t>
      </w:r>
      <w:r>
        <w:rPr>
          <w:rFonts w:asciiTheme="minorHAnsi" w:hAnsiTheme="minorHAnsi"/>
          <w:b/>
        </w:rPr>
        <w:t xml:space="preserve">  </w:t>
      </w:r>
      <w:r w:rsidR="00A41D85" w:rsidRPr="0003395B">
        <w:rPr>
          <w:rFonts w:asciiTheme="minorHAnsi" w:hAnsiTheme="minorHAnsi"/>
        </w:rPr>
        <w:t>Board approved MHDO Response to Comment – no further action required.</w:t>
      </w:r>
    </w:p>
    <w:p w14:paraId="6E08F959" w14:textId="77777777" w:rsidR="00D91604" w:rsidRDefault="00D91604" w:rsidP="00D91604">
      <w:pPr>
        <w:rPr>
          <w:sz w:val="22"/>
          <w:szCs w:val="22"/>
        </w:rPr>
      </w:pPr>
    </w:p>
    <w:p w14:paraId="6952AE89" w14:textId="77777777" w:rsidR="00F90C04" w:rsidRPr="00D91604" w:rsidRDefault="00762BAC" w:rsidP="00D91604">
      <w:pPr>
        <w:rPr>
          <w:sz w:val="22"/>
          <w:szCs w:val="22"/>
        </w:rPr>
      </w:pPr>
      <w:r w:rsidRPr="00D91604">
        <w:rPr>
          <w:rFonts w:asciiTheme="minorHAnsi" w:hAnsiTheme="minorHAnsi" w:cs="Arial"/>
          <w:u w:val="single"/>
        </w:rPr>
        <w:t xml:space="preserve">Anthem Blue Cross and Blue Shield </w:t>
      </w:r>
      <w:r w:rsidRPr="00D91604">
        <w:rPr>
          <w:rFonts w:asciiTheme="minorHAnsi" w:hAnsiTheme="minorHAnsi"/>
          <w:u w:val="single"/>
        </w:rPr>
        <w:t>submitted the following comment</w:t>
      </w:r>
      <w:r w:rsidR="00E469A3" w:rsidRPr="00D91604">
        <w:rPr>
          <w:rFonts w:asciiTheme="minorHAnsi" w:hAnsiTheme="minorHAnsi"/>
          <w:u w:val="single"/>
        </w:rPr>
        <w:t>s</w:t>
      </w:r>
      <w:r w:rsidR="00F90C04" w:rsidRPr="00D91604">
        <w:rPr>
          <w:rFonts w:asciiTheme="minorHAnsi" w:hAnsiTheme="minorHAnsi"/>
          <w:u w:val="single"/>
        </w:rPr>
        <w:t>:</w:t>
      </w:r>
    </w:p>
    <w:p w14:paraId="23FEAA7E" w14:textId="77777777" w:rsidR="00066139" w:rsidRPr="00D91604" w:rsidRDefault="00066139" w:rsidP="00066139">
      <w:pPr>
        <w:pStyle w:val="ListParagraph"/>
        <w:rPr>
          <w:rFonts w:asciiTheme="minorHAnsi" w:hAnsiTheme="minorHAnsi"/>
          <w:u w:val="single"/>
        </w:rPr>
      </w:pPr>
    </w:p>
    <w:p w14:paraId="7BDF6CC0" w14:textId="77777777" w:rsidR="00F90C04" w:rsidRDefault="004D36B0" w:rsidP="00207A98">
      <w:pPr>
        <w:pStyle w:val="ListParagraph"/>
        <w:ind w:left="0"/>
        <w:rPr>
          <w:rFonts w:asciiTheme="minorHAnsi" w:hAnsiTheme="minorHAnsi"/>
        </w:rPr>
      </w:pPr>
      <w:r>
        <w:rPr>
          <w:rFonts w:asciiTheme="minorHAnsi" w:hAnsiTheme="minorHAnsi"/>
        </w:rPr>
        <w:t>Comment 1</w:t>
      </w:r>
      <w:r w:rsidR="00F90C04">
        <w:rPr>
          <w:rFonts w:asciiTheme="minorHAnsi" w:hAnsiTheme="minorHAnsi"/>
        </w:rPr>
        <w:t>:</w:t>
      </w:r>
      <w:r w:rsidR="00F4503E">
        <w:rPr>
          <w:rFonts w:asciiTheme="minorHAnsi" w:hAnsiTheme="minorHAnsi"/>
        </w:rPr>
        <w:t xml:space="preserve"> </w:t>
      </w:r>
    </w:p>
    <w:p w14:paraId="455BFECE" w14:textId="77777777" w:rsidR="004D36B0" w:rsidRDefault="004D36B0" w:rsidP="00F04828">
      <w:pPr>
        <w:pStyle w:val="ListParagraph"/>
        <w:numPr>
          <w:ilvl w:val="0"/>
          <w:numId w:val="2"/>
        </w:numPr>
        <w:jc w:val="both"/>
        <w:rPr>
          <w:rFonts w:asciiTheme="minorHAnsi" w:hAnsiTheme="minorHAnsi" w:cs="Arial"/>
        </w:rPr>
      </w:pPr>
      <w:r w:rsidRPr="00F04828">
        <w:rPr>
          <w:rFonts w:asciiTheme="minorHAnsi" w:hAnsiTheme="minorHAnsi" w:cs="Arial"/>
        </w:rPr>
        <w:t>The proposed rule adds a new definition for “Health Insurance Claim Number” (“HICN”) but does not include a definition of “Medicare Beneficiary Identifier” (“MBI”), although that term is also used in the proposed rule.</w:t>
      </w:r>
    </w:p>
    <w:p w14:paraId="754B04D1" w14:textId="77777777" w:rsidR="00080773" w:rsidRDefault="00080773" w:rsidP="00080773">
      <w:pPr>
        <w:jc w:val="both"/>
        <w:rPr>
          <w:rFonts w:asciiTheme="minorHAnsi" w:hAnsiTheme="minorHAnsi" w:cs="Arial"/>
        </w:rPr>
      </w:pPr>
    </w:p>
    <w:p w14:paraId="5A04B9EA" w14:textId="77777777" w:rsidR="00080773" w:rsidRPr="00AD4FFF" w:rsidRDefault="00080773" w:rsidP="00080773">
      <w:pPr>
        <w:pStyle w:val="Default"/>
        <w:rPr>
          <w:rFonts w:asciiTheme="minorHAnsi" w:hAnsiTheme="minorHAnsi"/>
        </w:rPr>
      </w:pPr>
      <w:r w:rsidRPr="00373173">
        <w:rPr>
          <w:rFonts w:asciiTheme="minorHAnsi" w:hAnsiTheme="minorHAnsi"/>
          <w:b/>
        </w:rPr>
        <w:t>MHDO Response:</w:t>
      </w:r>
      <w:r w:rsidRPr="00373173">
        <w:rPr>
          <w:rFonts w:asciiTheme="minorHAnsi" w:hAnsiTheme="minorHAnsi"/>
        </w:rPr>
        <w:t xml:space="preserve">   </w:t>
      </w:r>
      <w:r w:rsidR="004A5C05">
        <w:rPr>
          <w:rFonts w:asciiTheme="minorHAnsi" w:hAnsiTheme="minorHAnsi"/>
        </w:rPr>
        <w:t xml:space="preserve">In the definition </w:t>
      </w:r>
      <w:r w:rsidR="00467D7C">
        <w:rPr>
          <w:rFonts w:asciiTheme="minorHAnsi" w:hAnsiTheme="minorHAnsi"/>
        </w:rPr>
        <w:t>section of</w:t>
      </w:r>
      <w:r w:rsidR="004A5C05">
        <w:rPr>
          <w:rFonts w:asciiTheme="minorHAnsi" w:hAnsiTheme="minorHAnsi"/>
        </w:rPr>
        <w:t xml:space="preserve"> Rule Chapter 243,</w:t>
      </w:r>
      <w:r w:rsidR="00467D7C">
        <w:rPr>
          <w:rFonts w:asciiTheme="minorHAnsi" w:hAnsiTheme="minorHAnsi"/>
        </w:rPr>
        <w:t xml:space="preserve"> MHDO has added a definition </w:t>
      </w:r>
      <w:r w:rsidR="004A5C05">
        <w:rPr>
          <w:rFonts w:asciiTheme="minorHAnsi" w:hAnsiTheme="minorHAnsi"/>
        </w:rPr>
        <w:t>for Medicare Beneficiary Identifier (MBI).</w:t>
      </w:r>
    </w:p>
    <w:p w14:paraId="025D26BF" w14:textId="77777777" w:rsidR="00080773" w:rsidRPr="00373173" w:rsidRDefault="00080773" w:rsidP="00080773">
      <w:pPr>
        <w:pStyle w:val="Default"/>
        <w:rPr>
          <w:rFonts w:asciiTheme="minorHAnsi" w:hAnsiTheme="minorHAnsi"/>
        </w:rPr>
      </w:pPr>
    </w:p>
    <w:p w14:paraId="0BAF03D3" w14:textId="77777777" w:rsidR="00A41D85" w:rsidRPr="0003395B" w:rsidRDefault="00080773" w:rsidP="00A41D85">
      <w:pPr>
        <w:pStyle w:val="Default"/>
        <w:rPr>
          <w:rFonts w:asciiTheme="minorHAnsi" w:hAnsiTheme="minorHAnsi"/>
          <w:u w:val="single"/>
        </w:rPr>
      </w:pPr>
      <w:r w:rsidRPr="00C12C0C">
        <w:rPr>
          <w:rFonts w:asciiTheme="minorHAnsi" w:hAnsiTheme="minorHAnsi"/>
          <w:b/>
        </w:rPr>
        <w:t>Board Action:</w:t>
      </w:r>
      <w:r>
        <w:rPr>
          <w:rFonts w:asciiTheme="minorHAnsi" w:hAnsiTheme="minorHAnsi"/>
          <w:b/>
        </w:rPr>
        <w:t xml:space="preserve">  </w:t>
      </w:r>
      <w:r w:rsidR="00A41D85" w:rsidRPr="0003395B">
        <w:rPr>
          <w:rFonts w:asciiTheme="minorHAnsi" w:hAnsiTheme="minorHAnsi"/>
        </w:rPr>
        <w:t>Board approved MHDO Response to Comment – no further action required.</w:t>
      </w:r>
    </w:p>
    <w:p w14:paraId="12AAD133" w14:textId="77777777" w:rsidR="00F04828" w:rsidRPr="00F04828" w:rsidRDefault="00F04828" w:rsidP="00867239">
      <w:pPr>
        <w:jc w:val="both"/>
        <w:rPr>
          <w:rFonts w:asciiTheme="minorHAnsi" w:hAnsiTheme="minorHAnsi" w:cs="Arial"/>
        </w:rPr>
      </w:pPr>
    </w:p>
    <w:p w14:paraId="3E284C7F" w14:textId="77777777" w:rsidR="004D36B0" w:rsidRPr="00F04828" w:rsidRDefault="00F04828" w:rsidP="00F04828">
      <w:pPr>
        <w:jc w:val="both"/>
        <w:rPr>
          <w:rFonts w:asciiTheme="minorHAnsi" w:hAnsiTheme="minorHAnsi" w:cs="Arial"/>
        </w:rPr>
      </w:pPr>
      <w:r w:rsidRPr="00F04828">
        <w:rPr>
          <w:rFonts w:asciiTheme="minorHAnsi" w:hAnsiTheme="minorHAnsi" w:cs="Arial"/>
        </w:rPr>
        <w:t xml:space="preserve">Comment 2: </w:t>
      </w:r>
    </w:p>
    <w:p w14:paraId="2B0B7C1B" w14:textId="77777777" w:rsidR="004D36B0" w:rsidRDefault="004D36B0" w:rsidP="00F04828">
      <w:pPr>
        <w:numPr>
          <w:ilvl w:val="0"/>
          <w:numId w:val="8"/>
        </w:numPr>
        <w:jc w:val="both"/>
        <w:rPr>
          <w:rFonts w:asciiTheme="minorHAnsi" w:hAnsiTheme="minorHAnsi" w:cs="Arial"/>
        </w:rPr>
      </w:pPr>
      <w:r w:rsidRPr="00F04828">
        <w:rPr>
          <w:rFonts w:asciiTheme="minorHAnsi" w:hAnsiTheme="minorHAnsi" w:cs="Arial"/>
        </w:rPr>
        <w:t>Use of the Medicare Beneficiary Identifier, or “MBI”, is not required until January 1, 2020. CMS has provided for a transition period, from April 1, 2018 through and including December 31, 2019 during which either the HICN or the MBI can be used. Therefore, submission of MBIs should not be required until January 1, 2020.</w:t>
      </w:r>
    </w:p>
    <w:p w14:paraId="72A4D4B9" w14:textId="77777777" w:rsidR="00080773" w:rsidRDefault="00080773" w:rsidP="00080773">
      <w:pPr>
        <w:jc w:val="both"/>
        <w:rPr>
          <w:rFonts w:asciiTheme="minorHAnsi" w:hAnsiTheme="minorHAnsi" w:cs="Arial"/>
        </w:rPr>
      </w:pPr>
    </w:p>
    <w:p w14:paraId="3881B0E6" w14:textId="77777777" w:rsidR="00080773" w:rsidRPr="00AD4FFF" w:rsidRDefault="00080773" w:rsidP="009F0E1D">
      <w:pPr>
        <w:pStyle w:val="ListParagraph"/>
        <w:ind w:left="0"/>
        <w:rPr>
          <w:rFonts w:asciiTheme="minorHAnsi" w:hAnsiTheme="minorHAnsi"/>
        </w:rPr>
      </w:pPr>
      <w:r w:rsidRPr="00373173">
        <w:rPr>
          <w:rFonts w:asciiTheme="minorHAnsi" w:hAnsiTheme="minorHAnsi"/>
          <w:b/>
        </w:rPr>
        <w:t>MHDO Response</w:t>
      </w:r>
      <w:r w:rsidRPr="00A012D1">
        <w:rPr>
          <w:rFonts w:asciiTheme="minorHAnsi" w:hAnsiTheme="minorHAnsi" w:cs="Arial"/>
        </w:rPr>
        <w:t xml:space="preserve">:  </w:t>
      </w:r>
      <w:r w:rsidR="002F1C45" w:rsidRPr="00A012D1">
        <w:rPr>
          <w:rFonts w:asciiTheme="minorHAnsi" w:hAnsiTheme="minorHAnsi" w:cs="Arial"/>
        </w:rPr>
        <w:t xml:space="preserve">  </w:t>
      </w:r>
      <w:r w:rsidR="00045A25">
        <w:rPr>
          <w:rFonts w:asciiTheme="minorHAnsi" w:hAnsiTheme="minorHAnsi" w:cs="Arial"/>
        </w:rPr>
        <w:t xml:space="preserve">MHDO will accept either the HICN or the </w:t>
      </w:r>
      <w:r w:rsidR="002F1C45" w:rsidRPr="00CD1B16">
        <w:rPr>
          <w:rFonts w:asciiTheme="minorHAnsi" w:hAnsiTheme="minorHAnsi" w:cs="Arial"/>
        </w:rPr>
        <w:t>MBI</w:t>
      </w:r>
      <w:r w:rsidR="00045A25">
        <w:rPr>
          <w:rFonts w:asciiTheme="minorHAnsi" w:hAnsiTheme="minorHAnsi" w:cs="Arial"/>
        </w:rPr>
        <w:t xml:space="preserve"> or both</w:t>
      </w:r>
      <w:r w:rsidR="002F1C45" w:rsidRPr="00CD1B16">
        <w:rPr>
          <w:rFonts w:asciiTheme="minorHAnsi" w:hAnsiTheme="minorHAnsi" w:cs="Arial"/>
        </w:rPr>
        <w:t xml:space="preserve"> </w:t>
      </w:r>
      <w:r w:rsidR="00045A25">
        <w:rPr>
          <w:rFonts w:asciiTheme="minorHAnsi" w:hAnsiTheme="minorHAnsi" w:cs="Arial"/>
        </w:rPr>
        <w:t xml:space="preserve">during the transition period (April 1, 2018 through and including December 31, 2019).  MHDO will require the submission of MBI’s beginning with January 2020 data submissions.   </w:t>
      </w:r>
    </w:p>
    <w:p w14:paraId="626C2C69" w14:textId="77777777" w:rsidR="00080773" w:rsidRPr="00373173" w:rsidRDefault="00080773" w:rsidP="00080773">
      <w:pPr>
        <w:pStyle w:val="Default"/>
        <w:rPr>
          <w:rFonts w:asciiTheme="minorHAnsi" w:hAnsiTheme="minorHAnsi"/>
        </w:rPr>
      </w:pPr>
    </w:p>
    <w:p w14:paraId="56749F27" w14:textId="77777777" w:rsidR="00A41D85" w:rsidRPr="0003395B" w:rsidRDefault="00080773" w:rsidP="00A41D85">
      <w:pPr>
        <w:pStyle w:val="Default"/>
        <w:rPr>
          <w:rFonts w:asciiTheme="minorHAnsi" w:hAnsiTheme="minorHAnsi"/>
          <w:u w:val="single"/>
        </w:rPr>
      </w:pPr>
      <w:r w:rsidRPr="00C12C0C">
        <w:rPr>
          <w:rFonts w:asciiTheme="minorHAnsi" w:hAnsiTheme="minorHAnsi"/>
          <w:b/>
        </w:rPr>
        <w:t>Board Action:</w:t>
      </w:r>
      <w:r>
        <w:rPr>
          <w:rFonts w:asciiTheme="minorHAnsi" w:hAnsiTheme="minorHAnsi"/>
          <w:b/>
        </w:rPr>
        <w:t xml:space="preserve">  </w:t>
      </w:r>
      <w:r w:rsidR="00A41D85" w:rsidRPr="0003395B">
        <w:rPr>
          <w:rFonts w:asciiTheme="minorHAnsi" w:hAnsiTheme="minorHAnsi"/>
        </w:rPr>
        <w:t>Board approved MHDO Response to Comment – no further action required.</w:t>
      </w:r>
    </w:p>
    <w:p w14:paraId="2F72A4CA" w14:textId="77777777" w:rsidR="00F04828" w:rsidRPr="00F04828" w:rsidRDefault="00F04828" w:rsidP="00867239">
      <w:pPr>
        <w:jc w:val="both"/>
        <w:rPr>
          <w:rFonts w:asciiTheme="minorHAnsi" w:hAnsiTheme="minorHAnsi" w:cs="Arial"/>
        </w:rPr>
      </w:pPr>
    </w:p>
    <w:p w14:paraId="5C28B1DF" w14:textId="77777777" w:rsidR="004D36B0" w:rsidRPr="00F04828" w:rsidRDefault="00F04828" w:rsidP="00F04828">
      <w:pPr>
        <w:jc w:val="both"/>
        <w:rPr>
          <w:rFonts w:asciiTheme="minorHAnsi" w:hAnsiTheme="minorHAnsi" w:cs="Arial"/>
        </w:rPr>
      </w:pPr>
      <w:r w:rsidRPr="00F04828">
        <w:rPr>
          <w:rFonts w:asciiTheme="minorHAnsi" w:hAnsiTheme="minorHAnsi" w:cs="Arial"/>
        </w:rPr>
        <w:t>Comment 3:</w:t>
      </w:r>
    </w:p>
    <w:p w14:paraId="203CA5B6" w14:textId="77777777" w:rsidR="004D36B0" w:rsidRDefault="004D36B0" w:rsidP="00F04828">
      <w:pPr>
        <w:numPr>
          <w:ilvl w:val="0"/>
          <w:numId w:val="2"/>
        </w:numPr>
        <w:jc w:val="both"/>
        <w:rPr>
          <w:rFonts w:asciiTheme="minorHAnsi" w:hAnsiTheme="minorHAnsi" w:cs="Arial"/>
        </w:rPr>
      </w:pPr>
      <w:r w:rsidRPr="00F04828">
        <w:rPr>
          <w:rFonts w:asciiTheme="minorHAnsi" w:hAnsiTheme="minorHAnsi" w:cs="Arial"/>
        </w:rPr>
        <w:t>Anthem does not have the ability to collect or submit both the HICN and the MBI—we can collect and submit one or the other, and we can submit it in the correct field for the applicable data element, but we cannot submit both the HICN and the MBI.  Once the crosswalk file has been received from CMS, the HICNs will be replaced with the MBIs in all of Anthem’s systems, and we will no longer have access to HICNs and will not have the ability to submit them.</w:t>
      </w:r>
    </w:p>
    <w:p w14:paraId="51ADE798" w14:textId="77777777" w:rsidR="00080773" w:rsidRDefault="00080773" w:rsidP="00080773">
      <w:pPr>
        <w:jc w:val="both"/>
        <w:rPr>
          <w:rFonts w:asciiTheme="minorHAnsi" w:hAnsiTheme="minorHAnsi" w:cs="Arial"/>
        </w:rPr>
      </w:pPr>
    </w:p>
    <w:p w14:paraId="179AA011" w14:textId="77777777" w:rsidR="00376C26" w:rsidRDefault="00080773" w:rsidP="00080773">
      <w:pPr>
        <w:pStyle w:val="Default"/>
        <w:rPr>
          <w:rFonts w:asciiTheme="minorHAnsi" w:hAnsiTheme="minorHAnsi"/>
          <w:b/>
        </w:rPr>
      </w:pPr>
      <w:r w:rsidRPr="00373173">
        <w:rPr>
          <w:rFonts w:asciiTheme="minorHAnsi" w:hAnsiTheme="minorHAnsi"/>
          <w:b/>
        </w:rPr>
        <w:t>MHDO Response:</w:t>
      </w:r>
      <w:r w:rsidRPr="00373173">
        <w:rPr>
          <w:rFonts w:asciiTheme="minorHAnsi" w:hAnsiTheme="minorHAnsi"/>
        </w:rPr>
        <w:t xml:space="preserve">  </w:t>
      </w:r>
      <w:r w:rsidR="00504874">
        <w:rPr>
          <w:rFonts w:asciiTheme="minorHAnsi" w:hAnsiTheme="minorHAnsi"/>
        </w:rPr>
        <w:t>MHDO is not requiring the submission of both the HICN and MBI.  However, for continuity, the</w:t>
      </w:r>
      <w:r w:rsidR="00376C26">
        <w:rPr>
          <w:rFonts w:asciiTheme="minorHAnsi" w:hAnsiTheme="minorHAnsi" w:cs="Arial"/>
        </w:rPr>
        <w:t xml:space="preserve"> MHDO will require that HICN be submitted at least once between February 1, 2019 and December 31, 2019 in a</w:t>
      </w:r>
      <w:r w:rsidR="00504874">
        <w:rPr>
          <w:rFonts w:asciiTheme="minorHAnsi" w:hAnsiTheme="minorHAnsi" w:cs="Arial"/>
        </w:rPr>
        <w:t>n</w:t>
      </w:r>
      <w:r w:rsidR="00D91604">
        <w:rPr>
          <w:rFonts w:asciiTheme="minorHAnsi" w:hAnsiTheme="minorHAnsi" w:cs="Arial"/>
        </w:rPr>
        <w:t xml:space="preserve"> </w:t>
      </w:r>
      <w:r w:rsidR="00376C26">
        <w:rPr>
          <w:rFonts w:asciiTheme="minorHAnsi" w:hAnsiTheme="minorHAnsi" w:cs="Arial"/>
        </w:rPr>
        <w:t xml:space="preserve">eligibility file. </w:t>
      </w:r>
    </w:p>
    <w:p w14:paraId="21FB6A98" w14:textId="77777777" w:rsidR="00D91604" w:rsidRDefault="00D91604" w:rsidP="00080773">
      <w:pPr>
        <w:pStyle w:val="Default"/>
        <w:rPr>
          <w:rFonts w:asciiTheme="minorHAnsi" w:hAnsiTheme="minorHAnsi"/>
          <w:b/>
        </w:rPr>
      </w:pPr>
    </w:p>
    <w:p w14:paraId="4AA7AED4" w14:textId="77777777" w:rsidR="00A41D85" w:rsidRPr="0003395B" w:rsidRDefault="00080773" w:rsidP="00A41D85">
      <w:pPr>
        <w:pStyle w:val="Default"/>
        <w:rPr>
          <w:rFonts w:asciiTheme="minorHAnsi" w:hAnsiTheme="minorHAnsi"/>
          <w:u w:val="single"/>
        </w:rPr>
      </w:pPr>
      <w:r w:rsidRPr="00C12C0C">
        <w:rPr>
          <w:rFonts w:asciiTheme="minorHAnsi" w:hAnsiTheme="minorHAnsi"/>
          <w:b/>
        </w:rPr>
        <w:t>Board Action:</w:t>
      </w:r>
      <w:r>
        <w:rPr>
          <w:rFonts w:asciiTheme="minorHAnsi" w:hAnsiTheme="minorHAnsi"/>
          <w:b/>
        </w:rPr>
        <w:t xml:space="preserve">  </w:t>
      </w:r>
      <w:r w:rsidR="00A41D85" w:rsidRPr="0003395B">
        <w:rPr>
          <w:rFonts w:asciiTheme="minorHAnsi" w:hAnsiTheme="minorHAnsi"/>
        </w:rPr>
        <w:t>Board approved MHDO Response to Comment – no further action required.</w:t>
      </w:r>
    </w:p>
    <w:p w14:paraId="1E925609" w14:textId="77777777" w:rsidR="00F04828" w:rsidRPr="00F04828" w:rsidRDefault="00F04828" w:rsidP="00867239">
      <w:pPr>
        <w:jc w:val="both"/>
        <w:rPr>
          <w:rFonts w:asciiTheme="minorHAnsi" w:hAnsiTheme="minorHAnsi" w:cs="Arial"/>
        </w:rPr>
      </w:pPr>
    </w:p>
    <w:p w14:paraId="6EFB4F77" w14:textId="77777777" w:rsidR="004D36B0" w:rsidRPr="00F04828" w:rsidRDefault="00F04828" w:rsidP="00F04828">
      <w:pPr>
        <w:rPr>
          <w:rFonts w:asciiTheme="minorHAnsi" w:hAnsiTheme="minorHAnsi"/>
        </w:rPr>
      </w:pPr>
      <w:r w:rsidRPr="00F04828">
        <w:rPr>
          <w:rFonts w:asciiTheme="minorHAnsi" w:hAnsiTheme="minorHAnsi"/>
        </w:rPr>
        <w:t xml:space="preserve">Comment 4: </w:t>
      </w:r>
    </w:p>
    <w:p w14:paraId="3A246AE9" w14:textId="77777777" w:rsidR="004D36B0" w:rsidRDefault="004D36B0" w:rsidP="00F04828">
      <w:pPr>
        <w:numPr>
          <w:ilvl w:val="0"/>
          <w:numId w:val="2"/>
        </w:numPr>
        <w:jc w:val="both"/>
        <w:rPr>
          <w:rFonts w:asciiTheme="minorHAnsi" w:hAnsiTheme="minorHAnsi" w:cs="Arial"/>
        </w:rPr>
      </w:pPr>
      <w:r w:rsidRPr="00F04828">
        <w:rPr>
          <w:rFonts w:asciiTheme="minorHAnsi" w:hAnsiTheme="minorHAnsi" w:cs="Arial"/>
        </w:rPr>
        <w:t>As a result, we would suggest modifying the proposed changes to Appendix C-1, proposed data elements ME-110—ME-113 to require submission of either the HICN or the MBI until January 1, 2020, but not both.</w:t>
      </w:r>
    </w:p>
    <w:p w14:paraId="22264F07" w14:textId="77777777" w:rsidR="00080773" w:rsidRDefault="00080773" w:rsidP="00080773">
      <w:pPr>
        <w:jc w:val="both"/>
        <w:rPr>
          <w:rFonts w:asciiTheme="minorHAnsi" w:hAnsiTheme="minorHAnsi" w:cs="Arial"/>
        </w:rPr>
      </w:pPr>
    </w:p>
    <w:p w14:paraId="32B285FA" w14:textId="77777777" w:rsidR="00A012D1" w:rsidRDefault="00080773" w:rsidP="00080773">
      <w:pPr>
        <w:pStyle w:val="Default"/>
        <w:rPr>
          <w:rFonts w:asciiTheme="minorHAnsi" w:hAnsiTheme="minorHAnsi"/>
        </w:rPr>
      </w:pPr>
      <w:r w:rsidRPr="00373173">
        <w:rPr>
          <w:rFonts w:asciiTheme="minorHAnsi" w:hAnsiTheme="minorHAnsi"/>
          <w:b/>
        </w:rPr>
        <w:t>MHDO Response:</w:t>
      </w:r>
      <w:r w:rsidRPr="00373173">
        <w:rPr>
          <w:rFonts w:asciiTheme="minorHAnsi" w:hAnsiTheme="minorHAnsi"/>
        </w:rPr>
        <w:t xml:space="preserve">   </w:t>
      </w:r>
      <w:r w:rsidR="002F1C45">
        <w:rPr>
          <w:rFonts w:asciiTheme="minorHAnsi" w:hAnsiTheme="minorHAnsi"/>
        </w:rPr>
        <w:t>MHDO has revised the langu</w:t>
      </w:r>
      <w:r w:rsidR="00A012D1">
        <w:rPr>
          <w:rFonts w:asciiTheme="minorHAnsi" w:hAnsiTheme="minorHAnsi"/>
        </w:rPr>
        <w:t>a</w:t>
      </w:r>
      <w:r w:rsidR="002F1C45">
        <w:rPr>
          <w:rFonts w:asciiTheme="minorHAnsi" w:hAnsiTheme="minorHAnsi"/>
        </w:rPr>
        <w:t>ge in Appendix C-1 to clarify that</w:t>
      </w:r>
      <w:r w:rsidR="001720E8">
        <w:rPr>
          <w:rFonts w:asciiTheme="minorHAnsi" w:hAnsiTheme="minorHAnsi"/>
        </w:rPr>
        <w:t xml:space="preserve"> </w:t>
      </w:r>
      <w:r w:rsidR="002F1C45">
        <w:rPr>
          <w:rFonts w:asciiTheme="minorHAnsi" w:hAnsiTheme="minorHAnsi"/>
        </w:rPr>
        <w:t xml:space="preserve">submission of </w:t>
      </w:r>
      <w:r w:rsidR="001720E8">
        <w:rPr>
          <w:rFonts w:asciiTheme="minorHAnsi" w:hAnsiTheme="minorHAnsi"/>
        </w:rPr>
        <w:t>either</w:t>
      </w:r>
      <w:r w:rsidR="002F1C45">
        <w:rPr>
          <w:rFonts w:asciiTheme="minorHAnsi" w:hAnsiTheme="minorHAnsi"/>
        </w:rPr>
        <w:t xml:space="preserve"> element is required</w:t>
      </w:r>
      <w:r w:rsidR="001720E8">
        <w:rPr>
          <w:rFonts w:asciiTheme="minorHAnsi" w:hAnsiTheme="minorHAnsi"/>
        </w:rPr>
        <w:t>, but not both</w:t>
      </w:r>
      <w:r w:rsidR="002F1C45">
        <w:rPr>
          <w:rFonts w:asciiTheme="minorHAnsi" w:hAnsiTheme="minorHAnsi"/>
        </w:rPr>
        <w:t xml:space="preserve">.  </w:t>
      </w:r>
    </w:p>
    <w:p w14:paraId="05CA97C6" w14:textId="77777777" w:rsidR="001C3DC7" w:rsidRDefault="001C3DC7" w:rsidP="00080773">
      <w:pPr>
        <w:pStyle w:val="Default"/>
        <w:rPr>
          <w:rFonts w:asciiTheme="minorHAnsi" w:hAnsiTheme="minorHAnsi"/>
        </w:rPr>
      </w:pPr>
    </w:p>
    <w:p w14:paraId="6EBB7E18" w14:textId="4D96F8B9" w:rsidR="00A41D85" w:rsidRPr="00867239" w:rsidRDefault="00080773">
      <w:pPr>
        <w:pStyle w:val="Default"/>
        <w:rPr>
          <w:rFonts w:asciiTheme="minorHAnsi" w:hAnsiTheme="minorHAnsi"/>
          <w:u w:val="single"/>
        </w:rPr>
      </w:pPr>
      <w:r w:rsidRPr="00C12C0C">
        <w:rPr>
          <w:rFonts w:asciiTheme="minorHAnsi" w:hAnsiTheme="minorHAnsi"/>
          <w:b/>
        </w:rPr>
        <w:t>Board Action:</w:t>
      </w:r>
      <w:r>
        <w:rPr>
          <w:rFonts w:asciiTheme="minorHAnsi" w:hAnsiTheme="minorHAnsi"/>
          <w:b/>
        </w:rPr>
        <w:t xml:space="preserve"> </w:t>
      </w:r>
      <w:r w:rsidR="00A41D85">
        <w:rPr>
          <w:rFonts w:asciiTheme="minorHAnsi" w:hAnsiTheme="minorHAnsi"/>
          <w:b/>
        </w:rPr>
        <w:t xml:space="preserve"> </w:t>
      </w:r>
      <w:r w:rsidR="00A41D85" w:rsidRPr="0003395B">
        <w:rPr>
          <w:rFonts w:asciiTheme="minorHAnsi" w:hAnsiTheme="minorHAnsi"/>
        </w:rPr>
        <w:t>Board approved MHDO Response to Comment – no further action required.</w:t>
      </w:r>
    </w:p>
    <w:p w14:paraId="090FA600" w14:textId="77777777" w:rsidR="00F04828" w:rsidRPr="00F04828" w:rsidRDefault="00F04828" w:rsidP="00867239">
      <w:pPr>
        <w:pStyle w:val="Default"/>
        <w:rPr>
          <w:rFonts w:asciiTheme="minorHAnsi" w:hAnsiTheme="minorHAnsi" w:cs="Arial"/>
        </w:rPr>
      </w:pPr>
    </w:p>
    <w:p w14:paraId="38601123" w14:textId="77777777" w:rsidR="004D36B0" w:rsidRPr="00F04828" w:rsidRDefault="00F04828" w:rsidP="00F04828">
      <w:pPr>
        <w:jc w:val="both"/>
        <w:rPr>
          <w:rFonts w:asciiTheme="minorHAnsi" w:hAnsiTheme="minorHAnsi" w:cs="Arial"/>
        </w:rPr>
      </w:pPr>
      <w:r>
        <w:rPr>
          <w:rFonts w:asciiTheme="minorHAnsi" w:hAnsiTheme="minorHAnsi" w:cs="Arial"/>
        </w:rPr>
        <w:t>Comment 5</w:t>
      </w:r>
      <w:r w:rsidRPr="00F04828">
        <w:rPr>
          <w:rFonts w:asciiTheme="minorHAnsi" w:hAnsiTheme="minorHAnsi" w:cs="Arial"/>
        </w:rPr>
        <w:t>:</w:t>
      </w:r>
    </w:p>
    <w:p w14:paraId="587E3BF6" w14:textId="77777777" w:rsidR="004D36B0" w:rsidRPr="00A83D51" w:rsidRDefault="004D36B0" w:rsidP="00A83D51">
      <w:pPr>
        <w:numPr>
          <w:ilvl w:val="0"/>
          <w:numId w:val="2"/>
        </w:numPr>
        <w:jc w:val="both"/>
        <w:rPr>
          <w:rFonts w:asciiTheme="minorHAnsi" w:hAnsiTheme="minorHAnsi" w:cs="Arial"/>
        </w:rPr>
      </w:pPr>
      <w:r w:rsidRPr="00A83D51">
        <w:rPr>
          <w:rFonts w:asciiTheme="minorHAnsi" w:hAnsiTheme="minorHAnsi" w:cs="Arial"/>
        </w:rPr>
        <w:t>Finally, any changes must be prospective and not retroactive.  Appendix C-1 indicates that carriers would be required to begin submitting the HICN or MBI effective April 1, 2018.  That is prior to the likely effective date of the proposed rule and does not give carriers sufficient time to ensure compliance. Furthermo</w:t>
      </w:r>
      <w:r w:rsidR="00A83D51" w:rsidRPr="00A83D51">
        <w:rPr>
          <w:rFonts w:asciiTheme="minorHAnsi" w:hAnsiTheme="minorHAnsi" w:cs="Arial"/>
        </w:rPr>
        <w:t>re, as previously noted, the use</w:t>
      </w:r>
      <w:r w:rsidR="00A83D51">
        <w:rPr>
          <w:rFonts w:asciiTheme="minorHAnsi" w:hAnsiTheme="minorHAnsi" w:cs="Arial"/>
        </w:rPr>
        <w:t xml:space="preserve"> </w:t>
      </w:r>
      <w:r w:rsidR="00A83D51" w:rsidRPr="00A83D51">
        <w:rPr>
          <w:rFonts w:asciiTheme="minorHAnsi" w:hAnsiTheme="minorHAnsi" w:cs="Arial"/>
        </w:rPr>
        <w:t>o</w:t>
      </w:r>
      <w:r w:rsidRPr="00A83D51">
        <w:rPr>
          <w:rFonts w:asciiTheme="minorHAnsi" w:hAnsiTheme="minorHAnsi" w:cs="Arial"/>
        </w:rPr>
        <w:t xml:space="preserve">f an MBI is not required until January and should not be required prior to that date. Therefore, we would suggest January 1, 2020 as the effective date for reporting of the MBI.  In any event, submission of HICN or MBI should not be required prior to January </w:t>
      </w:r>
      <w:r w:rsidR="00A83D51" w:rsidRPr="00A83D51">
        <w:rPr>
          <w:rFonts w:asciiTheme="minorHAnsi" w:hAnsiTheme="minorHAnsi" w:cs="Arial"/>
        </w:rPr>
        <w:t xml:space="preserve">1, 2019 </w:t>
      </w:r>
      <w:r w:rsidRPr="00A83D51">
        <w:rPr>
          <w:rFonts w:asciiTheme="minorHAnsi" w:hAnsiTheme="minorHAnsi" w:cs="Arial"/>
        </w:rPr>
        <w:t>to provide carriers time to come into compliance with the new requirement.</w:t>
      </w:r>
    </w:p>
    <w:p w14:paraId="7DCF3ACF" w14:textId="77777777" w:rsidR="004D36B0" w:rsidRDefault="004D36B0" w:rsidP="00207A98">
      <w:pPr>
        <w:pStyle w:val="ListParagraph"/>
        <w:ind w:left="0"/>
        <w:rPr>
          <w:rFonts w:asciiTheme="minorHAnsi" w:hAnsiTheme="minorHAnsi"/>
        </w:rPr>
      </w:pPr>
    </w:p>
    <w:p w14:paraId="12100D5D" w14:textId="77777777" w:rsidR="004D4BB0" w:rsidRDefault="00F4503E" w:rsidP="004D4BB0">
      <w:pPr>
        <w:pStyle w:val="ListParagraph"/>
        <w:ind w:left="0"/>
        <w:rPr>
          <w:rFonts w:asciiTheme="minorHAnsi" w:hAnsiTheme="minorHAnsi"/>
        </w:rPr>
      </w:pPr>
      <w:r w:rsidRPr="00F4503E">
        <w:rPr>
          <w:rFonts w:asciiTheme="minorHAnsi" w:hAnsiTheme="minorHAnsi"/>
          <w:b/>
        </w:rPr>
        <w:t>MHDO Response:</w:t>
      </w:r>
      <w:r w:rsidR="00E91E33">
        <w:rPr>
          <w:rFonts w:asciiTheme="minorHAnsi" w:hAnsiTheme="minorHAnsi"/>
          <w:b/>
        </w:rPr>
        <w:t xml:space="preserve">  </w:t>
      </w:r>
      <w:r w:rsidR="00004489">
        <w:rPr>
          <w:rFonts w:asciiTheme="minorHAnsi" w:hAnsiTheme="minorHAnsi"/>
        </w:rPr>
        <w:t xml:space="preserve">  MHDO has clarified in Appendix C-1 the effective dates and requirements for these new fields which are prospective.   </w:t>
      </w:r>
    </w:p>
    <w:p w14:paraId="0CDD6D7F" w14:textId="77777777" w:rsidR="00F90C04" w:rsidRDefault="00F90C04" w:rsidP="00207A98">
      <w:pPr>
        <w:pStyle w:val="ListParagraph"/>
        <w:ind w:left="0"/>
        <w:rPr>
          <w:rFonts w:asciiTheme="minorHAnsi" w:hAnsiTheme="minorHAnsi"/>
          <w:b/>
        </w:rPr>
      </w:pPr>
    </w:p>
    <w:p w14:paraId="14FF9756" w14:textId="3981B9ED" w:rsidR="00F90C04" w:rsidRDefault="00F4503E" w:rsidP="00867239">
      <w:pPr>
        <w:pStyle w:val="Default"/>
      </w:pPr>
      <w:r w:rsidRPr="00F4503E">
        <w:rPr>
          <w:rFonts w:asciiTheme="minorHAnsi" w:hAnsiTheme="minorHAnsi"/>
          <w:b/>
        </w:rPr>
        <w:t>Board Action:</w:t>
      </w:r>
      <w:r w:rsidR="00CC63F2">
        <w:rPr>
          <w:rFonts w:asciiTheme="minorHAnsi" w:hAnsiTheme="minorHAnsi"/>
          <w:b/>
        </w:rPr>
        <w:t xml:space="preserve"> </w:t>
      </w:r>
      <w:r w:rsidR="00A41D85" w:rsidRPr="0003395B">
        <w:rPr>
          <w:rFonts w:asciiTheme="minorHAnsi" w:hAnsiTheme="minorHAnsi"/>
        </w:rPr>
        <w:t>Board approved MHDO Response to Comment – no further action required.</w:t>
      </w:r>
    </w:p>
    <w:p w14:paraId="2C5D6F8C" w14:textId="77777777" w:rsidR="00004489" w:rsidRDefault="00004489" w:rsidP="007D0E99">
      <w:pPr>
        <w:pStyle w:val="ListParagraph"/>
        <w:ind w:left="0"/>
      </w:pPr>
    </w:p>
    <w:tbl>
      <w:tblPr>
        <w:tblStyle w:val="TableGrid"/>
        <w:tblW w:w="8630" w:type="dxa"/>
        <w:tblLook w:val="04A0" w:firstRow="1" w:lastRow="0" w:firstColumn="1" w:lastColumn="0" w:noHBand="0" w:noVBand="1"/>
      </w:tblPr>
      <w:tblGrid>
        <w:gridCol w:w="2876"/>
        <w:gridCol w:w="2877"/>
        <w:gridCol w:w="2877"/>
      </w:tblGrid>
      <w:tr w:rsidR="00004489" w14:paraId="0426C838" w14:textId="77777777" w:rsidTr="00004489">
        <w:tc>
          <w:tcPr>
            <w:tcW w:w="2876" w:type="dxa"/>
          </w:tcPr>
          <w:p w14:paraId="178D1545" w14:textId="77777777" w:rsidR="00004489" w:rsidRPr="00A876FF" w:rsidRDefault="00004489" w:rsidP="00004489">
            <w:pPr>
              <w:pStyle w:val="ListParagraph"/>
              <w:ind w:left="0"/>
              <w:rPr>
                <w:b/>
              </w:rPr>
            </w:pPr>
            <w:r w:rsidRPr="00A876FF">
              <w:rPr>
                <w:b/>
              </w:rPr>
              <w:t xml:space="preserve">Data Element </w:t>
            </w:r>
          </w:p>
        </w:tc>
        <w:tc>
          <w:tcPr>
            <w:tcW w:w="2877" w:type="dxa"/>
          </w:tcPr>
          <w:p w14:paraId="1A75AF84" w14:textId="77777777" w:rsidR="00004489" w:rsidRPr="00A876FF" w:rsidRDefault="00004489" w:rsidP="00004489">
            <w:pPr>
              <w:pStyle w:val="ListParagraph"/>
              <w:ind w:left="0"/>
              <w:rPr>
                <w:b/>
              </w:rPr>
            </w:pPr>
            <w:r w:rsidRPr="00A876FF">
              <w:rPr>
                <w:b/>
              </w:rPr>
              <w:t>Effective Date</w:t>
            </w:r>
          </w:p>
        </w:tc>
        <w:tc>
          <w:tcPr>
            <w:tcW w:w="2877" w:type="dxa"/>
          </w:tcPr>
          <w:p w14:paraId="2FDB1E51" w14:textId="77777777" w:rsidR="00004489" w:rsidRPr="00A876FF" w:rsidRDefault="00004489" w:rsidP="00004489">
            <w:pPr>
              <w:pStyle w:val="ListParagraph"/>
              <w:ind w:left="0"/>
              <w:rPr>
                <w:b/>
              </w:rPr>
            </w:pPr>
            <w:r w:rsidRPr="00A876FF">
              <w:rPr>
                <w:b/>
              </w:rPr>
              <w:t>Action</w:t>
            </w:r>
          </w:p>
        </w:tc>
      </w:tr>
      <w:tr w:rsidR="00004489" w14:paraId="3B348102" w14:textId="77777777" w:rsidTr="00004489">
        <w:tc>
          <w:tcPr>
            <w:tcW w:w="2876" w:type="dxa"/>
          </w:tcPr>
          <w:p w14:paraId="5EDBC80F" w14:textId="77777777" w:rsidR="00004489" w:rsidRDefault="00004489" w:rsidP="00004489">
            <w:pPr>
              <w:pStyle w:val="ListParagraph"/>
              <w:ind w:left="0"/>
            </w:pPr>
            <w:r>
              <w:t>HICN</w:t>
            </w:r>
          </w:p>
        </w:tc>
        <w:tc>
          <w:tcPr>
            <w:tcW w:w="2877" w:type="dxa"/>
          </w:tcPr>
          <w:p w14:paraId="3096DEBC" w14:textId="77777777" w:rsidR="00004489" w:rsidRDefault="00004489" w:rsidP="00004489">
            <w:pPr>
              <w:pStyle w:val="ListParagraph"/>
              <w:ind w:left="0"/>
            </w:pPr>
            <w:r>
              <w:t>2/1/19-12/31/19</w:t>
            </w:r>
          </w:p>
        </w:tc>
        <w:tc>
          <w:tcPr>
            <w:tcW w:w="2877" w:type="dxa"/>
          </w:tcPr>
          <w:p w14:paraId="26EBB2BB" w14:textId="77777777" w:rsidR="00004489" w:rsidRDefault="00004489" w:rsidP="00004489">
            <w:pPr>
              <w:pStyle w:val="ListParagraph"/>
              <w:ind w:left="0"/>
            </w:pPr>
            <w:r>
              <w:t>Payer submits at least one eligibility file with HICN</w:t>
            </w:r>
          </w:p>
        </w:tc>
      </w:tr>
      <w:tr w:rsidR="00004489" w14:paraId="3DE5052D" w14:textId="77777777" w:rsidTr="00004489">
        <w:tc>
          <w:tcPr>
            <w:tcW w:w="2876" w:type="dxa"/>
          </w:tcPr>
          <w:p w14:paraId="6845F1BB" w14:textId="77777777" w:rsidR="00004489" w:rsidRDefault="00004489" w:rsidP="00004489">
            <w:pPr>
              <w:pStyle w:val="ListParagraph"/>
              <w:ind w:left="0"/>
            </w:pPr>
            <w:r>
              <w:t>MBI</w:t>
            </w:r>
          </w:p>
        </w:tc>
        <w:tc>
          <w:tcPr>
            <w:tcW w:w="2877" w:type="dxa"/>
          </w:tcPr>
          <w:p w14:paraId="5E578220" w14:textId="77777777" w:rsidR="00004489" w:rsidRDefault="00D91604" w:rsidP="00004489">
            <w:pPr>
              <w:pStyle w:val="ListParagraph"/>
              <w:ind w:left="0"/>
            </w:pPr>
            <w:r>
              <w:t>2/1/19-12/31/19</w:t>
            </w:r>
          </w:p>
        </w:tc>
        <w:tc>
          <w:tcPr>
            <w:tcW w:w="2877" w:type="dxa"/>
          </w:tcPr>
          <w:p w14:paraId="5E27F4BE" w14:textId="77777777" w:rsidR="00004489" w:rsidRDefault="00D91604" w:rsidP="00004489">
            <w:pPr>
              <w:pStyle w:val="ListParagraph"/>
              <w:ind w:left="0"/>
            </w:pPr>
            <w:r>
              <w:t>If Payer has transitioned to MBI they may send to MHDO in eligibility file</w:t>
            </w:r>
          </w:p>
        </w:tc>
      </w:tr>
      <w:tr w:rsidR="00004489" w14:paraId="3BB5739A" w14:textId="77777777" w:rsidTr="00004489">
        <w:tc>
          <w:tcPr>
            <w:tcW w:w="2876" w:type="dxa"/>
          </w:tcPr>
          <w:p w14:paraId="16045542" w14:textId="77777777" w:rsidR="00004489" w:rsidRDefault="00004489" w:rsidP="00004489">
            <w:pPr>
              <w:pStyle w:val="ListParagraph"/>
              <w:ind w:left="0"/>
            </w:pPr>
            <w:r>
              <w:t>MBI</w:t>
            </w:r>
          </w:p>
        </w:tc>
        <w:tc>
          <w:tcPr>
            <w:tcW w:w="2877" w:type="dxa"/>
          </w:tcPr>
          <w:p w14:paraId="3F478A83" w14:textId="77777777" w:rsidR="00004489" w:rsidRDefault="00004489" w:rsidP="00004489">
            <w:pPr>
              <w:pStyle w:val="ListParagraph"/>
              <w:ind w:left="0"/>
            </w:pPr>
            <w:r>
              <w:t>2/1/2020 (for 1/1/2020 submission)</w:t>
            </w:r>
          </w:p>
        </w:tc>
        <w:tc>
          <w:tcPr>
            <w:tcW w:w="2877" w:type="dxa"/>
          </w:tcPr>
          <w:p w14:paraId="36998CA5" w14:textId="77777777" w:rsidR="00004489" w:rsidRDefault="00004489" w:rsidP="00004489">
            <w:pPr>
              <w:pStyle w:val="ListParagraph"/>
              <w:ind w:left="0"/>
            </w:pPr>
            <w:r>
              <w:t>Payer begins to send MBI</w:t>
            </w:r>
            <w:r w:rsidR="00D91604">
              <w:t xml:space="preserve"> in eligibility file</w:t>
            </w:r>
          </w:p>
        </w:tc>
      </w:tr>
    </w:tbl>
    <w:p w14:paraId="3B20B6BC" w14:textId="77777777" w:rsidR="00004489" w:rsidRPr="007D0E99" w:rsidRDefault="00D91604" w:rsidP="007D0E99">
      <w:pPr>
        <w:pStyle w:val="ListParagraph"/>
        <w:ind w:left="0"/>
      </w:pPr>
      <w:r>
        <w:t xml:space="preserve">Updates to Rule Chapter 243, Appendix C-1 provide the details that support the summary in the table.  </w:t>
      </w:r>
    </w:p>
    <w:sectPr w:rsidR="00004489" w:rsidRPr="007D0E9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425A" w14:textId="77777777" w:rsidR="006045E5" w:rsidRDefault="006045E5" w:rsidP="00BD2D1D">
      <w:r>
        <w:separator/>
      </w:r>
    </w:p>
  </w:endnote>
  <w:endnote w:type="continuationSeparator" w:id="0">
    <w:p w14:paraId="7E06BB9B" w14:textId="77777777" w:rsidR="006045E5" w:rsidRDefault="006045E5" w:rsidP="00BD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E58B" w14:textId="77777777" w:rsidR="003A5529" w:rsidRDefault="003A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86932"/>
      <w:docPartObj>
        <w:docPartGallery w:val="Page Numbers (Bottom of Page)"/>
        <w:docPartUnique/>
      </w:docPartObj>
    </w:sdtPr>
    <w:sdtEndPr>
      <w:rPr>
        <w:noProof/>
      </w:rPr>
    </w:sdtEndPr>
    <w:sdtContent>
      <w:p w14:paraId="165BB6E2" w14:textId="5849DFDA" w:rsidR="00BD2D1D" w:rsidRDefault="00BD2D1D">
        <w:pPr>
          <w:pStyle w:val="Footer"/>
          <w:jc w:val="center"/>
        </w:pPr>
        <w:r>
          <w:fldChar w:fldCharType="begin"/>
        </w:r>
        <w:r>
          <w:instrText xml:space="preserve"> PAGE   \* MERGEFORMAT </w:instrText>
        </w:r>
        <w:r>
          <w:fldChar w:fldCharType="separate"/>
        </w:r>
        <w:r w:rsidR="006045E5">
          <w:rPr>
            <w:noProof/>
          </w:rPr>
          <w:t>1</w:t>
        </w:r>
        <w:r>
          <w:rPr>
            <w:noProof/>
          </w:rPr>
          <w:fldChar w:fldCharType="end"/>
        </w:r>
      </w:p>
    </w:sdtContent>
  </w:sdt>
  <w:p w14:paraId="5783B485" w14:textId="77777777" w:rsidR="00BD2D1D" w:rsidRDefault="00BD2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98C0" w14:textId="77777777" w:rsidR="003A5529" w:rsidRDefault="003A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94ED" w14:textId="77777777" w:rsidR="006045E5" w:rsidRDefault="006045E5" w:rsidP="00BD2D1D">
      <w:r>
        <w:separator/>
      </w:r>
    </w:p>
  </w:footnote>
  <w:footnote w:type="continuationSeparator" w:id="0">
    <w:p w14:paraId="076B1AC2" w14:textId="77777777" w:rsidR="006045E5" w:rsidRDefault="006045E5" w:rsidP="00BD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F773" w14:textId="77777777" w:rsidR="00262754" w:rsidRDefault="00262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9F1C" w14:textId="227AB499" w:rsidR="00262754" w:rsidRDefault="00262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F8DD" w14:textId="77777777" w:rsidR="00262754" w:rsidRDefault="00262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E59"/>
    <w:multiLevelType w:val="hybridMultilevel"/>
    <w:tmpl w:val="CB307090"/>
    <w:lvl w:ilvl="0" w:tplc="04101E5A">
      <w:start w:val="1"/>
      <w:numFmt w:val="decimal"/>
      <w:lvlText w:val="%1."/>
      <w:lvlJc w:val="left"/>
      <w:pPr>
        <w:ind w:left="1080" w:hanging="360"/>
      </w:pPr>
      <w:rPr>
        <w:rFonts w:ascii="Times New Roman" w:hAnsi="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3071D"/>
    <w:multiLevelType w:val="hybridMultilevel"/>
    <w:tmpl w:val="3EC6A3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5502D5"/>
    <w:multiLevelType w:val="hybridMultilevel"/>
    <w:tmpl w:val="9246F4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11975"/>
    <w:multiLevelType w:val="hybridMultilevel"/>
    <w:tmpl w:val="D748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AB7254"/>
    <w:multiLevelType w:val="hybridMultilevel"/>
    <w:tmpl w:val="90EA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5C764E"/>
    <w:multiLevelType w:val="hybridMultilevel"/>
    <w:tmpl w:val="E112F2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CA550E"/>
    <w:multiLevelType w:val="multilevel"/>
    <w:tmpl w:val="8C007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F357F"/>
    <w:multiLevelType w:val="hybridMultilevel"/>
    <w:tmpl w:val="3518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97CCB"/>
    <w:multiLevelType w:val="hybridMultilevel"/>
    <w:tmpl w:val="463A916A"/>
    <w:lvl w:ilvl="0" w:tplc="04090001">
      <w:start w:val="1"/>
      <w:numFmt w:val="bullet"/>
      <w:lvlText w:val=""/>
      <w:lvlJc w:val="left"/>
      <w:pPr>
        <w:ind w:left="820" w:hanging="360"/>
        <w:jc w:val="left"/>
      </w:pPr>
      <w:rPr>
        <w:rFonts w:ascii="Symbol" w:hAnsi="Symbol" w:hint="default"/>
        <w:sz w:val="24"/>
        <w:szCs w:val="24"/>
      </w:rPr>
    </w:lvl>
    <w:lvl w:ilvl="1" w:tplc="F02209BA">
      <w:start w:val="1"/>
      <w:numFmt w:val="bullet"/>
      <w:lvlText w:val="•"/>
      <w:lvlJc w:val="left"/>
      <w:pPr>
        <w:ind w:left="1692" w:hanging="360"/>
      </w:pPr>
      <w:rPr>
        <w:rFonts w:hint="default"/>
      </w:rPr>
    </w:lvl>
    <w:lvl w:ilvl="2" w:tplc="6B38DCF2">
      <w:start w:val="1"/>
      <w:numFmt w:val="bullet"/>
      <w:lvlText w:val="•"/>
      <w:lvlJc w:val="left"/>
      <w:pPr>
        <w:ind w:left="2564" w:hanging="360"/>
      </w:pPr>
      <w:rPr>
        <w:rFonts w:hint="default"/>
      </w:rPr>
    </w:lvl>
    <w:lvl w:ilvl="3" w:tplc="C3540C22">
      <w:start w:val="1"/>
      <w:numFmt w:val="bullet"/>
      <w:lvlText w:val="•"/>
      <w:lvlJc w:val="left"/>
      <w:pPr>
        <w:ind w:left="3436" w:hanging="360"/>
      </w:pPr>
      <w:rPr>
        <w:rFonts w:hint="default"/>
      </w:rPr>
    </w:lvl>
    <w:lvl w:ilvl="4" w:tplc="BBA09AD2">
      <w:start w:val="1"/>
      <w:numFmt w:val="bullet"/>
      <w:lvlText w:val="•"/>
      <w:lvlJc w:val="left"/>
      <w:pPr>
        <w:ind w:left="4308" w:hanging="360"/>
      </w:pPr>
      <w:rPr>
        <w:rFonts w:hint="default"/>
      </w:rPr>
    </w:lvl>
    <w:lvl w:ilvl="5" w:tplc="11262E40">
      <w:start w:val="1"/>
      <w:numFmt w:val="bullet"/>
      <w:lvlText w:val="•"/>
      <w:lvlJc w:val="left"/>
      <w:pPr>
        <w:ind w:left="5180" w:hanging="360"/>
      </w:pPr>
      <w:rPr>
        <w:rFonts w:hint="default"/>
      </w:rPr>
    </w:lvl>
    <w:lvl w:ilvl="6" w:tplc="C6A66202">
      <w:start w:val="1"/>
      <w:numFmt w:val="bullet"/>
      <w:lvlText w:val="•"/>
      <w:lvlJc w:val="left"/>
      <w:pPr>
        <w:ind w:left="6052" w:hanging="360"/>
      </w:pPr>
      <w:rPr>
        <w:rFonts w:hint="default"/>
      </w:rPr>
    </w:lvl>
    <w:lvl w:ilvl="7" w:tplc="4F5A7ED6">
      <w:start w:val="1"/>
      <w:numFmt w:val="bullet"/>
      <w:lvlText w:val="•"/>
      <w:lvlJc w:val="left"/>
      <w:pPr>
        <w:ind w:left="6924" w:hanging="360"/>
      </w:pPr>
      <w:rPr>
        <w:rFonts w:hint="default"/>
      </w:rPr>
    </w:lvl>
    <w:lvl w:ilvl="8" w:tplc="40B241C0">
      <w:start w:val="1"/>
      <w:numFmt w:val="bullet"/>
      <w:lvlText w:val="•"/>
      <w:lvlJc w:val="left"/>
      <w:pPr>
        <w:ind w:left="7796" w:hanging="360"/>
      </w:pPr>
      <w:rPr>
        <w:rFonts w:hint="default"/>
      </w:r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D"/>
    <w:rsid w:val="00001FD5"/>
    <w:rsid w:val="00004489"/>
    <w:rsid w:val="00045A25"/>
    <w:rsid w:val="0005255F"/>
    <w:rsid w:val="00066139"/>
    <w:rsid w:val="000714E0"/>
    <w:rsid w:val="00080773"/>
    <w:rsid w:val="00081906"/>
    <w:rsid w:val="000F6A14"/>
    <w:rsid w:val="00104074"/>
    <w:rsid w:val="001720E8"/>
    <w:rsid w:val="001C3DC7"/>
    <w:rsid w:val="001D0EA5"/>
    <w:rsid w:val="001E6491"/>
    <w:rsid w:val="001F36DD"/>
    <w:rsid w:val="00207A98"/>
    <w:rsid w:val="00262754"/>
    <w:rsid w:val="002922CF"/>
    <w:rsid w:val="002A551B"/>
    <w:rsid w:val="002D6F4F"/>
    <w:rsid w:val="002F1C45"/>
    <w:rsid w:val="003170B1"/>
    <w:rsid w:val="0032215F"/>
    <w:rsid w:val="003516E5"/>
    <w:rsid w:val="00373173"/>
    <w:rsid w:val="003747B8"/>
    <w:rsid w:val="00376C26"/>
    <w:rsid w:val="00380785"/>
    <w:rsid w:val="00385BE2"/>
    <w:rsid w:val="003A5529"/>
    <w:rsid w:val="003C1D13"/>
    <w:rsid w:val="003C3FC4"/>
    <w:rsid w:val="003D06A1"/>
    <w:rsid w:val="003D7BF7"/>
    <w:rsid w:val="003F2A31"/>
    <w:rsid w:val="004009A5"/>
    <w:rsid w:val="004148F4"/>
    <w:rsid w:val="0041628E"/>
    <w:rsid w:val="00426B40"/>
    <w:rsid w:val="0043077E"/>
    <w:rsid w:val="0044313C"/>
    <w:rsid w:val="00467D7C"/>
    <w:rsid w:val="004805F9"/>
    <w:rsid w:val="0048339E"/>
    <w:rsid w:val="004A5C05"/>
    <w:rsid w:val="004B3611"/>
    <w:rsid w:val="004C22D2"/>
    <w:rsid w:val="004D36B0"/>
    <w:rsid w:val="004D3F47"/>
    <w:rsid w:val="004D4BB0"/>
    <w:rsid w:val="00502CFA"/>
    <w:rsid w:val="00504874"/>
    <w:rsid w:val="00517BB3"/>
    <w:rsid w:val="005232C2"/>
    <w:rsid w:val="00532AC2"/>
    <w:rsid w:val="0053481C"/>
    <w:rsid w:val="005833BE"/>
    <w:rsid w:val="005853D0"/>
    <w:rsid w:val="005C49B7"/>
    <w:rsid w:val="005C6415"/>
    <w:rsid w:val="005E63B8"/>
    <w:rsid w:val="005F545C"/>
    <w:rsid w:val="005F7D82"/>
    <w:rsid w:val="00603ACC"/>
    <w:rsid w:val="006045E5"/>
    <w:rsid w:val="00612DB8"/>
    <w:rsid w:val="00616E9A"/>
    <w:rsid w:val="00622004"/>
    <w:rsid w:val="00640407"/>
    <w:rsid w:val="006727D0"/>
    <w:rsid w:val="006B4FCA"/>
    <w:rsid w:val="006D4C4E"/>
    <w:rsid w:val="00703DD0"/>
    <w:rsid w:val="007276BC"/>
    <w:rsid w:val="00744371"/>
    <w:rsid w:val="00762BAC"/>
    <w:rsid w:val="007B1755"/>
    <w:rsid w:val="007C4A54"/>
    <w:rsid w:val="007C4D98"/>
    <w:rsid w:val="007D0E99"/>
    <w:rsid w:val="008408A7"/>
    <w:rsid w:val="0084562C"/>
    <w:rsid w:val="00866240"/>
    <w:rsid w:val="00867239"/>
    <w:rsid w:val="0088501F"/>
    <w:rsid w:val="009230B8"/>
    <w:rsid w:val="0092602E"/>
    <w:rsid w:val="009709B5"/>
    <w:rsid w:val="009A3D84"/>
    <w:rsid w:val="009D1DD1"/>
    <w:rsid w:val="009D6BEF"/>
    <w:rsid w:val="009E4B3B"/>
    <w:rsid w:val="009E546C"/>
    <w:rsid w:val="009E753E"/>
    <w:rsid w:val="009E7D74"/>
    <w:rsid w:val="009F0E1D"/>
    <w:rsid w:val="00A012D1"/>
    <w:rsid w:val="00A34646"/>
    <w:rsid w:val="00A41D85"/>
    <w:rsid w:val="00A51CE0"/>
    <w:rsid w:val="00A56CBE"/>
    <w:rsid w:val="00A83D51"/>
    <w:rsid w:val="00A876FF"/>
    <w:rsid w:val="00AD4FFF"/>
    <w:rsid w:val="00AF1D4D"/>
    <w:rsid w:val="00B31B19"/>
    <w:rsid w:val="00B4472B"/>
    <w:rsid w:val="00B62787"/>
    <w:rsid w:val="00B8640F"/>
    <w:rsid w:val="00B970A8"/>
    <w:rsid w:val="00BA2392"/>
    <w:rsid w:val="00BB1FEE"/>
    <w:rsid w:val="00BB7556"/>
    <w:rsid w:val="00BD2D1D"/>
    <w:rsid w:val="00C054A2"/>
    <w:rsid w:val="00C12C0C"/>
    <w:rsid w:val="00C53866"/>
    <w:rsid w:val="00C941E6"/>
    <w:rsid w:val="00CA6E75"/>
    <w:rsid w:val="00CC63F2"/>
    <w:rsid w:val="00CD1B16"/>
    <w:rsid w:val="00CE7B44"/>
    <w:rsid w:val="00CF6D92"/>
    <w:rsid w:val="00CF75A7"/>
    <w:rsid w:val="00D21B89"/>
    <w:rsid w:val="00D23DA3"/>
    <w:rsid w:val="00D818CA"/>
    <w:rsid w:val="00D87F1A"/>
    <w:rsid w:val="00D91604"/>
    <w:rsid w:val="00DA46F2"/>
    <w:rsid w:val="00DB0276"/>
    <w:rsid w:val="00DB1C9B"/>
    <w:rsid w:val="00DB3281"/>
    <w:rsid w:val="00DF08AD"/>
    <w:rsid w:val="00E04A6D"/>
    <w:rsid w:val="00E469A3"/>
    <w:rsid w:val="00E56902"/>
    <w:rsid w:val="00E62F57"/>
    <w:rsid w:val="00E64637"/>
    <w:rsid w:val="00E91E33"/>
    <w:rsid w:val="00EA131B"/>
    <w:rsid w:val="00EB779A"/>
    <w:rsid w:val="00F04828"/>
    <w:rsid w:val="00F07F60"/>
    <w:rsid w:val="00F3205C"/>
    <w:rsid w:val="00F4503E"/>
    <w:rsid w:val="00F870C6"/>
    <w:rsid w:val="00F90C04"/>
    <w:rsid w:val="00FA1AE0"/>
    <w:rsid w:val="00FB50F5"/>
    <w:rsid w:val="00FC56DD"/>
    <w:rsid w:val="00FD6B9C"/>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1637"/>
  <w15:docId w15:val="{99AFDA40-68A9-49B4-A9B9-77A04C77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8AD"/>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DF08AD"/>
    <w:rPr>
      <w:rFonts w:ascii="Arial" w:hAnsi="Arial"/>
      <w:sz w:val="22"/>
    </w:rPr>
  </w:style>
  <w:style w:type="paragraph" w:styleId="ListParagraph">
    <w:name w:val="List Paragraph"/>
    <w:basedOn w:val="Normal"/>
    <w:uiPriority w:val="34"/>
    <w:qFormat/>
    <w:rsid w:val="00F90C04"/>
    <w:pPr>
      <w:ind w:left="720"/>
      <w:contextualSpacing/>
    </w:pPr>
  </w:style>
  <w:style w:type="paragraph" w:customStyle="1" w:styleId="DefaultText">
    <w:name w:val="Default Text"/>
    <w:basedOn w:val="Normal"/>
    <w:rsid w:val="00066139"/>
    <w:pPr>
      <w:overflowPunct w:val="0"/>
      <w:autoSpaceDE w:val="0"/>
      <w:autoSpaceDN w:val="0"/>
      <w:adjustRightInd w:val="0"/>
      <w:textAlignment w:val="baseline"/>
    </w:pPr>
    <w:rPr>
      <w:color w:val="000000"/>
      <w:szCs w:val="20"/>
    </w:rPr>
  </w:style>
  <w:style w:type="paragraph" w:customStyle="1" w:styleId="Default">
    <w:name w:val="Default"/>
    <w:rsid w:val="005833BE"/>
    <w:pPr>
      <w:autoSpaceDE w:val="0"/>
      <w:autoSpaceDN w:val="0"/>
      <w:adjustRightInd w:val="0"/>
    </w:pPr>
    <w:rPr>
      <w:color w:val="000000"/>
      <w:sz w:val="24"/>
      <w:szCs w:val="24"/>
    </w:rPr>
  </w:style>
  <w:style w:type="paragraph" w:styleId="Footer">
    <w:name w:val="footer"/>
    <w:basedOn w:val="Normal"/>
    <w:link w:val="FooterChar"/>
    <w:uiPriority w:val="99"/>
    <w:rsid w:val="00BD2D1D"/>
    <w:pPr>
      <w:tabs>
        <w:tab w:val="center" w:pos="4680"/>
        <w:tab w:val="right" w:pos="9360"/>
      </w:tabs>
    </w:pPr>
  </w:style>
  <w:style w:type="character" w:customStyle="1" w:styleId="FooterChar">
    <w:name w:val="Footer Char"/>
    <w:basedOn w:val="DefaultParagraphFont"/>
    <w:link w:val="Footer"/>
    <w:uiPriority w:val="99"/>
    <w:rsid w:val="00BD2D1D"/>
    <w:rPr>
      <w:sz w:val="24"/>
      <w:szCs w:val="24"/>
    </w:rPr>
  </w:style>
  <w:style w:type="paragraph" w:styleId="BalloonText">
    <w:name w:val="Balloon Text"/>
    <w:basedOn w:val="Normal"/>
    <w:link w:val="BalloonTextChar"/>
    <w:rsid w:val="00262754"/>
    <w:rPr>
      <w:rFonts w:ascii="Tahoma" w:hAnsi="Tahoma" w:cs="Tahoma"/>
      <w:sz w:val="16"/>
      <w:szCs w:val="16"/>
    </w:rPr>
  </w:style>
  <w:style w:type="character" w:customStyle="1" w:styleId="BalloonTextChar">
    <w:name w:val="Balloon Text Char"/>
    <w:basedOn w:val="DefaultParagraphFont"/>
    <w:link w:val="BalloonText"/>
    <w:rsid w:val="00262754"/>
    <w:rPr>
      <w:rFonts w:ascii="Tahoma" w:hAnsi="Tahoma" w:cs="Tahoma"/>
      <w:sz w:val="16"/>
      <w:szCs w:val="16"/>
    </w:rPr>
  </w:style>
  <w:style w:type="paragraph" w:styleId="BodyTextIndent">
    <w:name w:val="Body Text Indent"/>
    <w:basedOn w:val="Normal"/>
    <w:link w:val="BodyTextIndentChar"/>
    <w:rsid w:val="00373173"/>
    <w:pPr>
      <w:tabs>
        <w:tab w:val="left" w:pos="720"/>
        <w:tab w:val="left" w:pos="1440"/>
        <w:tab w:val="left" w:pos="2160"/>
        <w:tab w:val="left" w:pos="2880"/>
      </w:tabs>
      <w:ind w:left="720" w:hanging="720"/>
    </w:pPr>
    <w:rPr>
      <w:rFonts w:ascii="Arial" w:hAnsi="Arial"/>
      <w:snapToGrid w:val="0"/>
      <w:szCs w:val="20"/>
    </w:rPr>
  </w:style>
  <w:style w:type="character" w:customStyle="1" w:styleId="BodyTextIndentChar">
    <w:name w:val="Body Text Indent Char"/>
    <w:basedOn w:val="DefaultParagraphFont"/>
    <w:link w:val="BodyTextIndent"/>
    <w:rsid w:val="00373173"/>
    <w:rPr>
      <w:rFonts w:ascii="Arial" w:hAnsi="Arial"/>
      <w:snapToGrid w:val="0"/>
      <w:sz w:val="24"/>
    </w:rPr>
  </w:style>
  <w:style w:type="paragraph" w:styleId="BodyText">
    <w:name w:val="Body Text"/>
    <w:basedOn w:val="Normal"/>
    <w:link w:val="BodyTextChar"/>
    <w:semiHidden/>
    <w:unhideWhenUsed/>
    <w:rsid w:val="004D36B0"/>
    <w:pPr>
      <w:spacing w:after="120"/>
    </w:pPr>
  </w:style>
  <w:style w:type="character" w:customStyle="1" w:styleId="BodyTextChar">
    <w:name w:val="Body Text Char"/>
    <w:basedOn w:val="DefaultParagraphFont"/>
    <w:link w:val="BodyText"/>
    <w:semiHidden/>
    <w:rsid w:val="004D36B0"/>
    <w:rPr>
      <w:sz w:val="24"/>
      <w:szCs w:val="24"/>
    </w:rPr>
  </w:style>
  <w:style w:type="table" w:styleId="TableGrid">
    <w:name w:val="Table Grid"/>
    <w:basedOn w:val="TableNormal"/>
    <w:rsid w:val="0000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2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61C6-51A4-4B12-BF52-0AE31ADC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Debra J</dc:creator>
  <cp:lastModifiedBy>Bonsant, Kimberly</cp:lastModifiedBy>
  <cp:revision>2</cp:revision>
  <cp:lastPrinted>2018-06-12T16:10:00Z</cp:lastPrinted>
  <dcterms:created xsi:type="dcterms:W3CDTF">2018-06-28T16:45:00Z</dcterms:created>
  <dcterms:modified xsi:type="dcterms:W3CDTF">2018-06-28T16:45:00Z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1635414718</vt:i4>
  </property>
</Properties>
</file>