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976368" w:rsidRDefault="00976368"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976368" w:rsidRDefault="00976368"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AC2E6"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1AB99FC6" w:rsidR="007270BE" w:rsidRPr="007F7B4D" w:rsidRDefault="0075492F" w:rsidP="007270BE">
      <w:pPr>
        <w:pStyle w:val="Title"/>
        <w:rPr>
          <w:sz w:val="48"/>
          <w:szCs w:val="48"/>
        </w:rPr>
      </w:pPr>
      <w:r>
        <w:rPr>
          <w:sz w:val="48"/>
          <w:szCs w:val="48"/>
        </w:rPr>
        <w:t>February</w:t>
      </w:r>
      <w:r w:rsidR="005B3CE8" w:rsidRPr="007F7B4D">
        <w:rPr>
          <w:sz w:val="48"/>
          <w:szCs w:val="48"/>
        </w:rPr>
        <w:t xml:space="preserve"> 201</w:t>
      </w:r>
      <w:r>
        <w:rPr>
          <w:sz w:val="48"/>
          <w:szCs w:val="48"/>
        </w:rPr>
        <w:t>8</w:t>
      </w:r>
      <w:r w:rsidR="00AD4C41" w:rsidRPr="007F7B4D">
        <w:rPr>
          <w:sz w:val="48"/>
          <w:szCs w:val="48"/>
        </w:rPr>
        <w:t xml:space="preserve"> </w:t>
      </w:r>
      <w:r w:rsidR="009577E5" w:rsidRPr="007F7B4D">
        <w:rPr>
          <w:sz w:val="48"/>
          <w:szCs w:val="48"/>
        </w:rPr>
        <w:t>APCD Data Release Notes</w:t>
      </w:r>
    </w:p>
    <w:p w14:paraId="783509D5" w14:textId="4B878CA8"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494379456"/>
      <w:r>
        <w:t>Opening Statement</w:t>
      </w:r>
      <w:bookmarkEnd w:id="0"/>
      <w:bookmarkEnd w:id="1"/>
      <w:bookmarkEnd w:id="2"/>
      <w:bookmarkEnd w:id="3"/>
      <w:bookmarkEnd w:id="4"/>
      <w:bookmarkEnd w:id="5"/>
      <w:bookmarkEnd w:id="6"/>
      <w:r>
        <w:t xml:space="preserve"> </w:t>
      </w:r>
    </w:p>
    <w:p w14:paraId="49B60D8C" w14:textId="07831CFE" w:rsidR="00910133" w:rsidRDefault="009148FD" w:rsidP="0076617E">
      <w:r w:rsidRPr="009148FD">
        <w:t>This release contains</w:t>
      </w:r>
      <w:r w:rsidR="00910133">
        <w:t xml:space="preserve"> the following data:</w:t>
      </w:r>
    </w:p>
    <w:p w14:paraId="2CB18EFD" w14:textId="29FD0A4F" w:rsidR="00910133" w:rsidRDefault="00B57347" w:rsidP="001B7A7C">
      <w:pPr>
        <w:pStyle w:val="ListParagraph"/>
        <w:numPr>
          <w:ilvl w:val="0"/>
          <w:numId w:val="15"/>
        </w:numPr>
      </w:pPr>
      <w:r>
        <w:t xml:space="preserve">2017 </w:t>
      </w:r>
      <w:r w:rsidR="0013297C">
        <w:t>Q3</w:t>
      </w:r>
      <w:r w:rsidR="009148FD">
        <w:t xml:space="preserve"> </w:t>
      </w:r>
      <w:r w:rsidR="00A66EF9">
        <w:t>C</w:t>
      </w:r>
      <w:r w:rsidR="00A66EF9" w:rsidRPr="009148FD">
        <w:t xml:space="preserve">ommercial </w:t>
      </w:r>
      <w:r w:rsidR="009148FD">
        <w:t xml:space="preserve">data </w:t>
      </w:r>
    </w:p>
    <w:p w14:paraId="250D0973" w14:textId="1C674A70" w:rsidR="00910133" w:rsidRDefault="00B57347" w:rsidP="001B7A7C">
      <w:pPr>
        <w:pStyle w:val="ListParagraph"/>
        <w:numPr>
          <w:ilvl w:val="0"/>
          <w:numId w:val="15"/>
        </w:numPr>
      </w:pPr>
      <w:r>
        <w:t xml:space="preserve">2017 </w:t>
      </w:r>
      <w:r w:rsidR="0013297C">
        <w:t>Q3</w:t>
      </w:r>
      <w:r>
        <w:t xml:space="preserve"> </w:t>
      </w:r>
      <w:r w:rsidR="009148FD" w:rsidRPr="009148FD">
        <w:t>MaineCare (Medicaid) data</w:t>
      </w:r>
      <w:r w:rsidR="006D7FB5">
        <w:t xml:space="preserve"> </w:t>
      </w:r>
    </w:p>
    <w:p w14:paraId="636B8F88" w14:textId="5819E281" w:rsidR="00945EC3" w:rsidRPr="00656FCF" w:rsidRDefault="00656FCF" w:rsidP="00247201">
      <w:pPr>
        <w:rPr>
          <w:b/>
        </w:rPr>
      </w:pPr>
      <w:r w:rsidRPr="00656FCF">
        <w:rPr>
          <w:b/>
        </w:rPr>
        <w:t>MHDO APCD Data Dictionary</w:t>
      </w:r>
    </w:p>
    <w:p w14:paraId="1EFCA7AB" w14:textId="3C60DA35" w:rsidR="00947EE5" w:rsidRDefault="00947EE5" w:rsidP="00947EE5">
      <w:pPr>
        <w:spacing w:line="252" w:lineRule="auto"/>
      </w:pPr>
      <w:r>
        <w:t xml:space="preserve">The MHDO APCD data dictionary </w:t>
      </w:r>
      <w:r w:rsidR="00EA1EDE">
        <w:t xml:space="preserve">is </w:t>
      </w:r>
      <w:r>
        <w:t>an interactive tool to assist data users with understanding the content, format and structure of the MHDO All Payer Claims (APCD) data sets. The data dictionary is designed to support users in:</w:t>
      </w:r>
    </w:p>
    <w:p w14:paraId="2013D1C0" w14:textId="544ED5EF" w:rsidR="008370CE" w:rsidRDefault="008370CE" w:rsidP="00947EE5">
      <w:pPr>
        <w:pStyle w:val="ListParagraph"/>
        <w:numPr>
          <w:ilvl w:val="0"/>
          <w:numId w:val="19"/>
        </w:numPr>
      </w:pPr>
      <w:r>
        <w:t>Improved navigation of the data</w:t>
      </w:r>
      <w:r w:rsidR="00065816">
        <w:t xml:space="preserve"> elements</w:t>
      </w:r>
    </w:p>
    <w:p w14:paraId="4C51DC56" w14:textId="71251A08" w:rsidR="00355239" w:rsidRPr="00656FCF" w:rsidRDefault="00355239" w:rsidP="00355239">
      <w:pPr>
        <w:pStyle w:val="ListParagraph"/>
        <w:numPr>
          <w:ilvl w:val="0"/>
          <w:numId w:val="19"/>
        </w:numPr>
      </w:pPr>
      <w:bookmarkStart w:id="7" w:name="_Hlk495050809"/>
      <w:bookmarkStart w:id="8" w:name="_Hlk495050821"/>
      <w:r>
        <w:t>Understanding r</w:t>
      </w:r>
      <w:r w:rsidRPr="00656FCF">
        <w:t>elationships between data elements</w:t>
      </w:r>
      <w:r>
        <w:t xml:space="preserve"> and which elements are included with each type of data release</w:t>
      </w:r>
      <w:bookmarkEnd w:id="7"/>
    </w:p>
    <w:p w14:paraId="5B00B5AF" w14:textId="35AB952E" w:rsidR="008370CE" w:rsidRDefault="00065816" w:rsidP="00947EE5">
      <w:pPr>
        <w:pStyle w:val="ListParagraph"/>
        <w:numPr>
          <w:ilvl w:val="0"/>
          <w:numId w:val="19"/>
        </w:numPr>
      </w:pPr>
      <w:r>
        <w:t>Access to underlying code sets</w:t>
      </w:r>
      <w:bookmarkEnd w:id="8"/>
    </w:p>
    <w:p w14:paraId="2C70113E" w14:textId="23880AF7" w:rsidR="00656FCF" w:rsidRPr="00656FCF" w:rsidRDefault="00B22967" w:rsidP="00656FCF">
      <w:r>
        <w:t xml:space="preserve">The data dictionary is available </w:t>
      </w:r>
      <w:r w:rsidR="009E7887">
        <w:t>at</w:t>
      </w:r>
      <w:r>
        <w:t xml:space="preserve"> </w:t>
      </w:r>
      <w:hyperlink r:id="rId12" w:history="1">
        <w:r w:rsidRPr="008D3D28">
          <w:rPr>
            <w:rStyle w:val="Hyperlink"/>
          </w:rPr>
          <w:t>https://mhdo.maine.gov/mhdo-data-dictionary/</w:t>
        </w:r>
      </w:hyperlink>
      <w:r>
        <w:t xml:space="preserve"> </w:t>
      </w:r>
    </w:p>
    <w:p w14:paraId="1CFDAD2F" w14:textId="7C90242D" w:rsidR="00EA1EDE" w:rsidRDefault="00EA1EDE" w:rsidP="00247201">
      <w:pPr>
        <w:rPr>
          <w:b/>
        </w:rPr>
      </w:pPr>
      <w:r>
        <w:rPr>
          <w:b/>
        </w:rPr>
        <w:t xml:space="preserve">Note:  The next three issues were included in the October 2017 APCD Data Release Notes.  We are </w:t>
      </w:r>
      <w:r w:rsidR="005A710F">
        <w:rPr>
          <w:b/>
        </w:rPr>
        <w:t xml:space="preserve">also </w:t>
      </w:r>
      <w:r>
        <w:rPr>
          <w:b/>
        </w:rPr>
        <w:t>including the</w:t>
      </w:r>
      <w:r w:rsidR="005A710F">
        <w:rPr>
          <w:b/>
        </w:rPr>
        <w:t>m here</w:t>
      </w:r>
      <w:r>
        <w:rPr>
          <w:b/>
        </w:rPr>
        <w:t xml:space="preserve"> </w:t>
      </w:r>
      <w:r w:rsidR="005A710F">
        <w:rPr>
          <w:b/>
        </w:rPr>
        <w:t>due to their critical importance</w:t>
      </w:r>
      <w:r>
        <w:rPr>
          <w:b/>
        </w:rPr>
        <w:t>.</w:t>
      </w:r>
    </w:p>
    <w:p w14:paraId="1D1ED4AC" w14:textId="04C1E1BC" w:rsidR="00E71D56" w:rsidRDefault="00E71D56" w:rsidP="00247201">
      <w:pPr>
        <w:rPr>
          <w:b/>
        </w:rPr>
      </w:pPr>
      <w:r>
        <w:rPr>
          <w:b/>
        </w:rPr>
        <w:t xml:space="preserve">Substance Abuse and Mental Health Services Administration (SAMHSA)-Confidentiality of Substance Use </w:t>
      </w:r>
      <w:r w:rsidRPr="004C30B5">
        <w:rPr>
          <w:b/>
        </w:rPr>
        <w:t>Disorder (S</w:t>
      </w:r>
      <w:r w:rsidR="00D84BEF" w:rsidRPr="004C30B5">
        <w:rPr>
          <w:b/>
        </w:rPr>
        <w:t>UD</w:t>
      </w:r>
      <w:r w:rsidRPr="004C30B5">
        <w:rPr>
          <w:b/>
        </w:rPr>
        <w:t xml:space="preserve">) </w:t>
      </w:r>
      <w:r>
        <w:rPr>
          <w:b/>
        </w:rPr>
        <w:t xml:space="preserve">Patient Records, 42 CFR </w:t>
      </w:r>
      <w:r w:rsidR="004C30B5">
        <w:rPr>
          <w:b/>
        </w:rPr>
        <w:t>Part 2</w:t>
      </w:r>
    </w:p>
    <w:p w14:paraId="6B8AA7AD" w14:textId="1043DA48" w:rsidR="004C30B5" w:rsidRPr="004C30B5" w:rsidRDefault="00F71317" w:rsidP="004C30B5">
      <w:r w:rsidRPr="004C30B5">
        <w:t xml:space="preserve">The Department of Health and Human Services (HHS) issued the final rule to update and modernize the Confidentiality of Alcohol and Drug Abuse Patient Records, 42 CFR Part 2. The regulations became effective as of </w:t>
      </w:r>
      <w:r w:rsidR="009B5749" w:rsidRPr="004C30B5">
        <w:t xml:space="preserve">March 21, 2017.  </w:t>
      </w:r>
      <w:r w:rsidR="00E71D56" w:rsidRPr="004C30B5">
        <w:t xml:space="preserve"> In general, the 42 CFR Part 2 rule limits data shared about a substance use disorder (SUD) service by a Part 2 Provider</w:t>
      </w:r>
      <w:r w:rsidR="00EB2F7E">
        <w:t>,</w:t>
      </w:r>
      <w:r w:rsidR="00E71D56" w:rsidRPr="004C30B5">
        <w:t xml:space="preserve"> as well as other lawful holders of data related to services rendered by Part 2 providers.</w:t>
      </w:r>
    </w:p>
    <w:p w14:paraId="401708CA" w14:textId="335FCDE1" w:rsidR="00F71317" w:rsidRDefault="00DF0013" w:rsidP="00DF0013">
      <w:r>
        <w:t>The original proposal the MHDO made to the payers</w:t>
      </w:r>
      <w:r w:rsidR="00F71317">
        <w:t xml:space="preserve"> (who are </w:t>
      </w:r>
      <w:r w:rsidR="009B5749">
        <w:t xml:space="preserve">considered lawful holders of the data and are </w:t>
      </w:r>
      <w:r w:rsidR="00F71317">
        <w:t>the entities that are required to comply with the provisions in 42</w:t>
      </w:r>
      <w:r w:rsidR="00EB2F7E">
        <w:t xml:space="preserve"> CFR</w:t>
      </w:r>
      <w:r w:rsidR="00F71317">
        <w:t xml:space="preserve"> Part 2)</w:t>
      </w:r>
      <w:r>
        <w:t xml:space="preserve"> submitting data to the MHDO was to establish a uniform approach regarding the redaction of substance abuse </w:t>
      </w:r>
      <w:r>
        <w:lastRenderedPageBreak/>
        <w:t>claims that complies with the requir</w:t>
      </w:r>
      <w:r w:rsidR="004C30B5">
        <w:t xml:space="preserve">ements in 42 CFR Part 2.  </w:t>
      </w:r>
      <w:r>
        <w:t xml:space="preserve">CMS/ResDAC </w:t>
      </w:r>
      <w:r w:rsidR="00F71317">
        <w:t>has</w:t>
      </w:r>
      <w:r>
        <w:t xml:space="preserve"> created a filter that </w:t>
      </w:r>
      <w:r w:rsidR="006A2A28">
        <w:t>flags and suppresses</w:t>
      </w:r>
      <w:r>
        <w:t xml:space="preserve"> claim lines containing SUD</w:t>
      </w:r>
      <w:r w:rsidR="006A2A28">
        <w:t>-</w:t>
      </w:r>
      <w:r>
        <w:t>related codes prior to releasing Medicare</w:t>
      </w:r>
      <w:r w:rsidR="00F71317">
        <w:t xml:space="preserve"> claims files to the MHDO.  A description of the policy and a listing of the codes used for redaction </w:t>
      </w:r>
      <w:r w:rsidR="006A2A28">
        <w:t>are</w:t>
      </w:r>
      <w:r w:rsidR="00F71317">
        <w:t xml:space="preserve"> found here: </w:t>
      </w:r>
      <w:hyperlink r:id="rId13" w:history="1">
        <w:r w:rsidR="00F71317" w:rsidRPr="00A31B04">
          <w:rPr>
            <w:rStyle w:val="Hyperlink"/>
          </w:rPr>
          <w:t>https://www.resdac.org/resconnect/articles/203</w:t>
        </w:r>
      </w:hyperlink>
      <w:r w:rsidR="009B5749">
        <w:t xml:space="preserve">   </w:t>
      </w:r>
    </w:p>
    <w:p w14:paraId="2475BD3F" w14:textId="34ABFB0A" w:rsidR="00305763" w:rsidRDefault="009B5749" w:rsidP="00305763">
      <w:r>
        <w:t>Unfortunately,</w:t>
      </w:r>
      <w:r w:rsidR="00E71D56">
        <w:t xml:space="preserve"> due to</w:t>
      </w:r>
      <w:r>
        <w:t xml:space="preserve"> the lack of clarity in the Rule</w:t>
      </w:r>
      <w:r w:rsidR="006A2A28">
        <w:t xml:space="preserve"> -- </w:t>
      </w:r>
      <w:r>
        <w:t xml:space="preserve">and </w:t>
      </w:r>
      <w:r w:rsidR="00305763">
        <w:t xml:space="preserve">to date </w:t>
      </w:r>
      <w:r>
        <w:t xml:space="preserve">no endorsement from SAMSHA on the use of the CMS/RasDAC </w:t>
      </w:r>
      <w:r w:rsidR="00305763">
        <w:t>filter</w:t>
      </w:r>
      <w:r w:rsidR="006A2A28">
        <w:t xml:space="preserve"> -- </w:t>
      </w:r>
      <w:r w:rsidR="00305763">
        <w:t>payers</w:t>
      </w:r>
      <w:r w:rsidR="00E71D56">
        <w:t xml:space="preserve"> are applying their own set of codes</w:t>
      </w:r>
      <w:r w:rsidR="00305763">
        <w:t>/filter</w:t>
      </w:r>
      <w:r w:rsidR="006A2A28">
        <w:t>s</w:t>
      </w:r>
      <w:r w:rsidR="00305763">
        <w:t xml:space="preserve"> to their data before submitting claims data to the MHDO.   In some cases, payers are suppressing data that is not protected under this Rule. </w:t>
      </w:r>
    </w:p>
    <w:p w14:paraId="7B5DE4A3" w14:textId="62168BFD" w:rsidR="00305763" w:rsidRDefault="00305763" w:rsidP="00305763">
      <w:pPr>
        <w:rPr>
          <w:b/>
        </w:rPr>
      </w:pPr>
      <w:r w:rsidRPr="004C30B5">
        <w:rPr>
          <w:b/>
        </w:rPr>
        <w:t>Impact of SAMHSA</w:t>
      </w:r>
      <w:r>
        <w:t xml:space="preserve"> </w:t>
      </w:r>
      <w:r>
        <w:rPr>
          <w:b/>
        </w:rPr>
        <w:t>42 CFR Part 2 on MHDO Historical Claims Data</w:t>
      </w:r>
    </w:p>
    <w:p w14:paraId="3554068D" w14:textId="571CE166" w:rsidR="00305763" w:rsidRDefault="00305763" w:rsidP="00305763">
      <w:r>
        <w:t xml:space="preserve">The </w:t>
      </w:r>
      <w:r w:rsidRPr="00D026F7">
        <w:t xml:space="preserve">MHDO </w:t>
      </w:r>
      <w:r>
        <w:t>has applied the CMS/ResDAC filter to our historical claims data, which means we have removed any claim lines that</w:t>
      </w:r>
      <w:r w:rsidRPr="00164FF7">
        <w:t xml:space="preserve"> have </w:t>
      </w:r>
      <w:r>
        <w:t xml:space="preserve">a code that is included on the </w:t>
      </w:r>
      <w:r w:rsidRPr="00164FF7">
        <w:t>redaction list. We leave any portion of a claim that doesn’t have those codes.</w:t>
      </w:r>
      <w:r>
        <w:t xml:space="preserve"> </w:t>
      </w:r>
    </w:p>
    <w:p w14:paraId="7E91AC50" w14:textId="793A5ACB" w:rsidR="00947F7E" w:rsidRDefault="00305763" w:rsidP="00947F7E">
      <w:r>
        <w:t xml:space="preserve">The MHDO is working with the National Association of Health Data Organizations and other </w:t>
      </w:r>
      <w:r w:rsidR="00E818D2">
        <w:t>s</w:t>
      </w:r>
      <w:r>
        <w:t>tates across the country to raise issues and concerns specific to this rule with SAMSHA</w:t>
      </w:r>
      <w:r w:rsidR="0040398C">
        <w:t xml:space="preserve"> in hope </w:t>
      </w:r>
      <w:r w:rsidR="007235F7">
        <w:t>of</w:t>
      </w:r>
      <w:r w:rsidR="0040398C">
        <w:t xml:space="preserve"> clarification on how best to proceed.  </w:t>
      </w:r>
    </w:p>
    <w:p w14:paraId="3448B9AC" w14:textId="7C230135" w:rsidR="006E3341" w:rsidRDefault="006E3341" w:rsidP="00247201">
      <w:pPr>
        <w:rPr>
          <w:b/>
        </w:rPr>
      </w:pPr>
      <w:r>
        <w:rPr>
          <w:b/>
        </w:rPr>
        <w:t xml:space="preserve">Identification of </w:t>
      </w:r>
      <w:r w:rsidR="00650DDE">
        <w:rPr>
          <w:b/>
        </w:rPr>
        <w:t xml:space="preserve">Non-Continuing </w:t>
      </w:r>
      <w:r>
        <w:rPr>
          <w:b/>
        </w:rPr>
        <w:t>Self-Funded</w:t>
      </w:r>
      <w:r w:rsidR="00650DDE">
        <w:rPr>
          <w:b/>
        </w:rPr>
        <w:t xml:space="preserve"> Groups or Employers</w:t>
      </w:r>
      <w:r>
        <w:rPr>
          <w:b/>
        </w:rPr>
        <w:t xml:space="preserve"> </w:t>
      </w:r>
    </w:p>
    <w:p w14:paraId="5265C3E3" w14:textId="02CF133D" w:rsidR="003F58BA" w:rsidRDefault="00C049AA" w:rsidP="00BD1DD6">
      <w:r>
        <w:t xml:space="preserve">MHDO </w:t>
      </w:r>
      <w:r w:rsidR="00A37375">
        <w:t xml:space="preserve">data users </w:t>
      </w:r>
      <w:r w:rsidR="001078A9">
        <w:t>raised the question about</w:t>
      </w:r>
      <w:r w:rsidR="00A37375">
        <w:t xml:space="preserve"> </w:t>
      </w:r>
      <w:r w:rsidR="001078A9">
        <w:t>how best</w:t>
      </w:r>
      <w:r w:rsidR="00A37375">
        <w:t xml:space="preserve"> to do </w:t>
      </w:r>
      <w:r>
        <w:t>a</w:t>
      </w:r>
      <w:r w:rsidR="00A37375">
        <w:t xml:space="preserve"> trend analysis </w:t>
      </w:r>
      <w:r w:rsidR="001078A9">
        <w:t>post Gobeille.</w:t>
      </w:r>
      <w:r w:rsidR="00A37375">
        <w:t xml:space="preserve"> </w:t>
      </w:r>
      <w:r w:rsidR="00650DDE">
        <w:t xml:space="preserve">While the mix of </w:t>
      </w:r>
      <w:r w:rsidR="007235F7">
        <w:t xml:space="preserve">claims for </w:t>
      </w:r>
      <w:r w:rsidR="00650DDE">
        <w:t>self-funded</w:t>
      </w:r>
      <w:r w:rsidR="001078A9">
        <w:t xml:space="preserve"> ERISA</w:t>
      </w:r>
      <w:r w:rsidR="00650DDE">
        <w:t xml:space="preserve"> plans</w:t>
      </w:r>
      <w:r w:rsidR="007235F7">
        <w:t xml:space="preserve"> and fully insured</w:t>
      </w:r>
      <w:r w:rsidR="00650DDE">
        <w:t xml:space="preserve"> included in the APCD</w:t>
      </w:r>
      <w:r w:rsidR="001078A9">
        <w:t xml:space="preserve"> varies over time (see </w:t>
      </w:r>
      <w:r w:rsidR="005E3893">
        <w:t>the MHDO Payer Index</w:t>
      </w:r>
      <w:r w:rsidR="001078A9">
        <w:t>)</w:t>
      </w:r>
      <w:r w:rsidR="00DF6D3F">
        <w:t xml:space="preserve"> </w:t>
      </w:r>
      <w:r w:rsidR="00650DDE">
        <w:t xml:space="preserve">the Gobeille decision has </w:t>
      </w:r>
      <w:r w:rsidR="001078A9">
        <w:t>created a much higher rate of deactivation</w:t>
      </w:r>
      <w:r w:rsidR="00650DDE">
        <w:t xml:space="preserve">. </w:t>
      </w:r>
    </w:p>
    <w:p w14:paraId="35DEAF15" w14:textId="7283D260" w:rsidR="003F58BA" w:rsidRDefault="003F58BA" w:rsidP="00BD1DD6">
      <w:r>
        <w:t>MHDO has produced a</w:t>
      </w:r>
      <w:r w:rsidRPr="003F58BA">
        <w:t xml:space="preserve"> </w:t>
      </w:r>
      <w:r w:rsidR="00945EC3">
        <w:t>file</w:t>
      </w:r>
      <w:r w:rsidR="00945EC3" w:rsidRPr="003F58BA">
        <w:t xml:space="preserve"> </w:t>
      </w:r>
      <w:r w:rsidRPr="003F58BA">
        <w:t xml:space="preserve">of MHDO Member IDs of </w:t>
      </w:r>
      <w:r w:rsidR="00945EC3">
        <w:t xml:space="preserve">individuals </w:t>
      </w:r>
      <w:r w:rsidR="00945EC3" w:rsidRPr="003F58BA">
        <w:t>who</w:t>
      </w:r>
      <w:r w:rsidRPr="003F58BA">
        <w:t xml:space="preserve"> were part of a self-funded ERISA employer group in the 2015/16 MHDO APCD that discontinued submitting claims data to the MHDO after the Gobeille decision. There are 271,002 distinct member IDs included in this file</w:t>
      </w:r>
      <w:r w:rsidR="00095CBF">
        <w:t>.Y</w:t>
      </w:r>
      <w:r w:rsidRPr="003F58BA">
        <w:t xml:space="preserve">ou can flag these distinct member IDs in your 2015 and 2016 MHDO claims data if you are looking to create a 2015 data set (pre-Gobeille) that looks like 2016 (post Gobeille) data.  Please note:  The MHDO continues to reach out to self-funded ERISA employer groups to ask that they voluntarily submit their claims data to the MHDO.  We are asking that if </w:t>
      </w:r>
      <w:r w:rsidR="00095CBF">
        <w:t xml:space="preserve">an </w:t>
      </w:r>
      <w:r w:rsidRPr="003F58BA">
        <w:t xml:space="preserve">employer agrees to voluntarily submit claims data to the MHDO that </w:t>
      </w:r>
      <w:r w:rsidR="00095CBF">
        <w:t>it</w:t>
      </w:r>
      <w:r w:rsidRPr="003F58BA">
        <w:t xml:space="preserve"> go back to the date </w:t>
      </w:r>
      <w:r w:rsidR="00095CBF">
        <w:t>its</w:t>
      </w:r>
      <w:r w:rsidRPr="003F58BA">
        <w:t xml:space="preserve"> TPA stopped submitting data to the MHDO (in many cases December 31, 2015 was the last submission).  As we discussed at the last data user group meeting, the list of member IDs may be a fluid list</w:t>
      </w:r>
      <w:r w:rsidR="00095CBF">
        <w:t>, since</w:t>
      </w:r>
      <w:r w:rsidRPr="003F58BA">
        <w:t xml:space="preserve"> self-funded employers decide to voluntarily submit data to the MHDO.   </w:t>
      </w:r>
    </w:p>
    <w:p w14:paraId="12FABEA3" w14:textId="42B2314B" w:rsidR="00656FCF" w:rsidRDefault="003F58BA" w:rsidP="00BD1DD6">
      <w:r>
        <w:t>If you would like to obtain this list, please</w:t>
      </w:r>
      <w:r w:rsidR="00945EC3">
        <w:t xml:space="preserve"> contact</w:t>
      </w:r>
      <w:r>
        <w:t xml:space="preserve"> the MHDO</w:t>
      </w:r>
      <w:r w:rsidR="00945EC3">
        <w:t xml:space="preserve"> at </w:t>
      </w:r>
      <w:hyperlink r:id="rId14" w:history="1">
        <w:r w:rsidR="00F47E10" w:rsidRPr="00EC1E46">
          <w:rPr>
            <w:rStyle w:val="Hyperlink"/>
          </w:rPr>
          <w:t>Webcontact.MHDO@maine.gov</w:t>
        </w:r>
      </w:hyperlink>
      <w:r w:rsidR="00516133" w:rsidRPr="001E2A58">
        <w:t>.</w:t>
      </w:r>
      <w:r w:rsidR="00F47E10" w:rsidRPr="001E2A58">
        <w:t xml:space="preserve"> </w:t>
      </w:r>
    </w:p>
    <w:p w14:paraId="4919DED8" w14:textId="77777777" w:rsidR="00656FCF" w:rsidRDefault="00656FCF">
      <w:r>
        <w:br w:type="page"/>
      </w:r>
    </w:p>
    <w:sdt>
      <w:sdtPr>
        <w:rPr>
          <w:b/>
        </w:rPr>
        <w:id w:val="-315964558"/>
        <w:docPartObj>
          <w:docPartGallery w:val="Table of Contents"/>
          <w:docPartUnique/>
        </w:docPartObj>
      </w:sdtPr>
      <w:sdtEndPr>
        <w:rPr>
          <w:bCs/>
          <w:noProof/>
        </w:rPr>
      </w:sdtEndPr>
      <w:sdtContent>
        <w:p w14:paraId="41AE2CFC" w14:textId="489EE66D" w:rsidR="00F66B67" w:rsidRDefault="0076617E" w:rsidP="00BD1DD6">
          <w:pPr>
            <w:rPr>
              <w:noProof/>
            </w:rPr>
          </w:pPr>
          <w:r>
            <w:rPr>
              <w:b/>
            </w:rPr>
            <w:t>Table of Contents</w:t>
          </w:r>
          <w:r w:rsidR="00EC106C">
            <w:fldChar w:fldCharType="begin"/>
          </w:r>
          <w:r w:rsidR="00C46851">
            <w:instrText xml:space="preserve"> TOC \o "1-3" \h \z \u </w:instrText>
          </w:r>
          <w:r w:rsidR="00EC106C">
            <w:fldChar w:fldCharType="separate"/>
          </w:r>
        </w:p>
        <w:p w14:paraId="5200A2D3" w14:textId="2D8FFC89" w:rsidR="00F66B67" w:rsidRDefault="009872C5">
          <w:pPr>
            <w:pStyle w:val="TOC1"/>
            <w:tabs>
              <w:tab w:val="right" w:leader="dot" w:pos="9350"/>
            </w:tabs>
            <w:rPr>
              <w:rFonts w:asciiTheme="minorHAnsi" w:eastAsiaTheme="minorEastAsia" w:hAnsiTheme="minorHAnsi" w:cstheme="minorBidi"/>
              <w:noProof/>
              <w:lang w:bidi="ar-SA"/>
            </w:rPr>
          </w:pPr>
          <w:hyperlink w:anchor="_Toc494379456" w:history="1">
            <w:r w:rsidR="00F66B67" w:rsidRPr="00754AAD">
              <w:rPr>
                <w:rStyle w:val="Hyperlink"/>
                <w:noProof/>
              </w:rPr>
              <w:t>Opening Statement</w:t>
            </w:r>
            <w:r w:rsidR="00F66B67">
              <w:rPr>
                <w:noProof/>
                <w:webHidden/>
              </w:rPr>
              <w:tab/>
            </w:r>
            <w:r w:rsidR="00F66B67">
              <w:rPr>
                <w:noProof/>
                <w:webHidden/>
              </w:rPr>
              <w:fldChar w:fldCharType="begin"/>
            </w:r>
            <w:r w:rsidR="00F66B67">
              <w:rPr>
                <w:noProof/>
                <w:webHidden/>
              </w:rPr>
              <w:instrText xml:space="preserve"> PAGEREF _Toc494379456 \h </w:instrText>
            </w:r>
            <w:r w:rsidR="00F66B67">
              <w:rPr>
                <w:noProof/>
                <w:webHidden/>
              </w:rPr>
            </w:r>
            <w:r w:rsidR="00F66B67">
              <w:rPr>
                <w:noProof/>
                <w:webHidden/>
              </w:rPr>
              <w:fldChar w:fldCharType="separate"/>
            </w:r>
            <w:r>
              <w:rPr>
                <w:noProof/>
                <w:webHidden/>
              </w:rPr>
              <w:t>1</w:t>
            </w:r>
            <w:r w:rsidR="00F66B67">
              <w:rPr>
                <w:noProof/>
                <w:webHidden/>
              </w:rPr>
              <w:fldChar w:fldCharType="end"/>
            </w:r>
          </w:hyperlink>
        </w:p>
        <w:p w14:paraId="7D736C57" w14:textId="04FB84DD" w:rsidR="00F66B67" w:rsidRDefault="009872C5">
          <w:pPr>
            <w:pStyle w:val="TOC1"/>
            <w:tabs>
              <w:tab w:val="right" w:leader="dot" w:pos="9350"/>
            </w:tabs>
            <w:rPr>
              <w:rFonts w:asciiTheme="minorHAnsi" w:eastAsiaTheme="minorEastAsia" w:hAnsiTheme="minorHAnsi" w:cstheme="minorBidi"/>
              <w:noProof/>
              <w:lang w:bidi="ar-SA"/>
            </w:rPr>
          </w:pPr>
          <w:hyperlink w:anchor="_Toc494379457" w:history="1">
            <w:r w:rsidR="00F66B67" w:rsidRPr="00754AAD">
              <w:rPr>
                <w:rStyle w:val="Hyperlink"/>
                <w:noProof/>
              </w:rPr>
              <w:t>Documentation Included with This Release</w:t>
            </w:r>
            <w:r w:rsidR="00F66B67">
              <w:rPr>
                <w:noProof/>
                <w:webHidden/>
              </w:rPr>
              <w:tab/>
            </w:r>
            <w:r w:rsidR="00F66B67">
              <w:rPr>
                <w:noProof/>
                <w:webHidden/>
              </w:rPr>
              <w:fldChar w:fldCharType="begin"/>
            </w:r>
            <w:r w:rsidR="00F66B67">
              <w:rPr>
                <w:noProof/>
                <w:webHidden/>
              </w:rPr>
              <w:instrText xml:space="preserve"> PAGEREF _Toc494379457 \h </w:instrText>
            </w:r>
            <w:r w:rsidR="00F66B67">
              <w:rPr>
                <w:noProof/>
                <w:webHidden/>
              </w:rPr>
            </w:r>
            <w:r w:rsidR="00F66B67">
              <w:rPr>
                <w:noProof/>
                <w:webHidden/>
              </w:rPr>
              <w:fldChar w:fldCharType="separate"/>
            </w:r>
            <w:r>
              <w:rPr>
                <w:noProof/>
                <w:webHidden/>
              </w:rPr>
              <w:t>3</w:t>
            </w:r>
            <w:r w:rsidR="00F66B67">
              <w:rPr>
                <w:noProof/>
                <w:webHidden/>
              </w:rPr>
              <w:fldChar w:fldCharType="end"/>
            </w:r>
          </w:hyperlink>
        </w:p>
        <w:p w14:paraId="501030D4" w14:textId="5F03F7B7" w:rsidR="00F66B67" w:rsidRDefault="009872C5">
          <w:pPr>
            <w:pStyle w:val="TOC1"/>
            <w:tabs>
              <w:tab w:val="right" w:leader="dot" w:pos="9350"/>
            </w:tabs>
            <w:rPr>
              <w:rFonts w:asciiTheme="minorHAnsi" w:eastAsiaTheme="minorEastAsia" w:hAnsiTheme="minorHAnsi" w:cstheme="minorBidi"/>
              <w:noProof/>
              <w:lang w:bidi="ar-SA"/>
            </w:rPr>
          </w:pPr>
          <w:hyperlink w:anchor="_Toc494379458" w:history="1">
            <w:r w:rsidR="00F66B67" w:rsidRPr="00754AAD">
              <w:rPr>
                <w:rStyle w:val="Hyperlink"/>
                <w:noProof/>
              </w:rPr>
              <w:t>Member Match to Eligibility</w:t>
            </w:r>
            <w:r w:rsidR="00F66B67">
              <w:rPr>
                <w:noProof/>
                <w:webHidden/>
              </w:rPr>
              <w:tab/>
            </w:r>
            <w:r w:rsidR="00F66B67">
              <w:rPr>
                <w:noProof/>
                <w:webHidden/>
              </w:rPr>
              <w:fldChar w:fldCharType="begin"/>
            </w:r>
            <w:r w:rsidR="00F66B67">
              <w:rPr>
                <w:noProof/>
                <w:webHidden/>
              </w:rPr>
              <w:instrText xml:space="preserve"> PAGEREF _Toc494379458 \h </w:instrText>
            </w:r>
            <w:r w:rsidR="00F66B67">
              <w:rPr>
                <w:noProof/>
                <w:webHidden/>
              </w:rPr>
            </w:r>
            <w:r w:rsidR="00F66B67">
              <w:rPr>
                <w:noProof/>
                <w:webHidden/>
              </w:rPr>
              <w:fldChar w:fldCharType="separate"/>
            </w:r>
            <w:r>
              <w:rPr>
                <w:noProof/>
                <w:webHidden/>
              </w:rPr>
              <w:t>3</w:t>
            </w:r>
            <w:r w:rsidR="00F66B67">
              <w:rPr>
                <w:noProof/>
                <w:webHidden/>
              </w:rPr>
              <w:fldChar w:fldCharType="end"/>
            </w:r>
          </w:hyperlink>
        </w:p>
        <w:p w14:paraId="182E0C29" w14:textId="38FD1A59" w:rsidR="00F66B67" w:rsidRDefault="009872C5">
          <w:pPr>
            <w:pStyle w:val="TOC1"/>
            <w:tabs>
              <w:tab w:val="right" w:leader="dot" w:pos="9350"/>
            </w:tabs>
            <w:rPr>
              <w:rFonts w:asciiTheme="minorHAnsi" w:eastAsiaTheme="minorEastAsia" w:hAnsiTheme="minorHAnsi" w:cstheme="minorBidi"/>
              <w:noProof/>
              <w:lang w:bidi="ar-SA"/>
            </w:rPr>
          </w:pPr>
          <w:hyperlink w:anchor="_Toc494379459" w:history="1">
            <w:r w:rsidR="00F66B67" w:rsidRPr="00754AAD">
              <w:rPr>
                <w:rStyle w:val="Hyperlink"/>
                <w:noProof/>
              </w:rPr>
              <w:t>Payer Specific Notes</w:t>
            </w:r>
            <w:r w:rsidR="00F66B67">
              <w:rPr>
                <w:noProof/>
                <w:webHidden/>
              </w:rPr>
              <w:tab/>
            </w:r>
            <w:r w:rsidR="00F66B67">
              <w:rPr>
                <w:noProof/>
                <w:webHidden/>
              </w:rPr>
              <w:fldChar w:fldCharType="begin"/>
            </w:r>
            <w:r w:rsidR="00F66B67">
              <w:rPr>
                <w:noProof/>
                <w:webHidden/>
              </w:rPr>
              <w:instrText xml:space="preserve"> PAGEREF _Toc494379459 \h </w:instrText>
            </w:r>
            <w:r w:rsidR="00F66B67">
              <w:rPr>
                <w:noProof/>
                <w:webHidden/>
              </w:rPr>
            </w:r>
            <w:r w:rsidR="00F66B67">
              <w:rPr>
                <w:noProof/>
                <w:webHidden/>
              </w:rPr>
              <w:fldChar w:fldCharType="separate"/>
            </w:r>
            <w:r>
              <w:rPr>
                <w:noProof/>
                <w:webHidden/>
              </w:rPr>
              <w:t>3</w:t>
            </w:r>
            <w:r w:rsidR="00F66B67">
              <w:rPr>
                <w:noProof/>
                <w:webHidden/>
              </w:rPr>
              <w:fldChar w:fldCharType="end"/>
            </w:r>
          </w:hyperlink>
        </w:p>
        <w:p w14:paraId="39953DE3" w14:textId="3FE5CAC5" w:rsidR="00F66B67" w:rsidRDefault="009872C5">
          <w:pPr>
            <w:pStyle w:val="TOC1"/>
            <w:tabs>
              <w:tab w:val="right" w:leader="dot" w:pos="9350"/>
            </w:tabs>
            <w:rPr>
              <w:rFonts w:asciiTheme="minorHAnsi" w:eastAsiaTheme="minorEastAsia" w:hAnsiTheme="minorHAnsi" w:cstheme="minorBidi"/>
              <w:noProof/>
              <w:lang w:bidi="ar-SA"/>
            </w:rPr>
          </w:pPr>
          <w:hyperlink w:anchor="_Toc494379460" w:history="1">
            <w:r w:rsidR="00F66B67" w:rsidRPr="00754AAD">
              <w:rPr>
                <w:rStyle w:val="Hyperlink"/>
                <w:noProof/>
              </w:rPr>
              <w:t>Missing Data and Other Data Observations</w:t>
            </w:r>
            <w:r w:rsidR="00F66B67">
              <w:rPr>
                <w:noProof/>
                <w:webHidden/>
              </w:rPr>
              <w:tab/>
            </w:r>
            <w:r w:rsidR="00F66B67">
              <w:rPr>
                <w:noProof/>
                <w:webHidden/>
              </w:rPr>
              <w:fldChar w:fldCharType="begin"/>
            </w:r>
            <w:r w:rsidR="00F66B67">
              <w:rPr>
                <w:noProof/>
                <w:webHidden/>
              </w:rPr>
              <w:instrText xml:space="preserve"> PAGEREF _Toc494379460 \h </w:instrText>
            </w:r>
            <w:r w:rsidR="00F66B67">
              <w:rPr>
                <w:noProof/>
                <w:webHidden/>
              </w:rPr>
            </w:r>
            <w:r w:rsidR="00F66B67">
              <w:rPr>
                <w:noProof/>
                <w:webHidden/>
              </w:rPr>
              <w:fldChar w:fldCharType="separate"/>
            </w:r>
            <w:r>
              <w:rPr>
                <w:noProof/>
                <w:webHidden/>
              </w:rPr>
              <w:t>5</w:t>
            </w:r>
            <w:r w:rsidR="00F66B67">
              <w:rPr>
                <w:noProof/>
                <w:webHidden/>
              </w:rPr>
              <w:fldChar w:fldCharType="end"/>
            </w:r>
          </w:hyperlink>
        </w:p>
        <w:p w14:paraId="2D7401C3" w14:textId="37416D47" w:rsidR="00F66B67" w:rsidRDefault="009872C5">
          <w:pPr>
            <w:pStyle w:val="TOC1"/>
            <w:tabs>
              <w:tab w:val="right" w:leader="dot" w:pos="9350"/>
            </w:tabs>
            <w:rPr>
              <w:rFonts w:asciiTheme="minorHAnsi" w:eastAsiaTheme="minorEastAsia" w:hAnsiTheme="minorHAnsi" w:cstheme="minorBidi"/>
              <w:noProof/>
              <w:lang w:bidi="ar-SA"/>
            </w:rPr>
          </w:pPr>
          <w:hyperlink w:anchor="_Toc494379461" w:history="1">
            <w:r w:rsidR="00F66B67" w:rsidRPr="00754AAD">
              <w:rPr>
                <w:rStyle w:val="Hyperlink"/>
                <w:noProof/>
              </w:rPr>
              <w:t>Other Release Reports</w:t>
            </w:r>
            <w:r w:rsidR="00F66B67">
              <w:rPr>
                <w:noProof/>
                <w:webHidden/>
              </w:rPr>
              <w:tab/>
            </w:r>
            <w:r w:rsidR="00F66B67">
              <w:rPr>
                <w:noProof/>
                <w:webHidden/>
              </w:rPr>
              <w:fldChar w:fldCharType="begin"/>
            </w:r>
            <w:r w:rsidR="00F66B67">
              <w:rPr>
                <w:noProof/>
                <w:webHidden/>
              </w:rPr>
              <w:instrText xml:space="preserve"> PAGEREF _Toc494379461 \h </w:instrText>
            </w:r>
            <w:r w:rsidR="00F66B67">
              <w:rPr>
                <w:noProof/>
                <w:webHidden/>
              </w:rPr>
            </w:r>
            <w:r w:rsidR="00F66B67">
              <w:rPr>
                <w:noProof/>
                <w:webHidden/>
              </w:rPr>
              <w:fldChar w:fldCharType="separate"/>
            </w:r>
            <w:r>
              <w:rPr>
                <w:noProof/>
                <w:webHidden/>
              </w:rPr>
              <w:t>6</w:t>
            </w:r>
            <w:r w:rsidR="00F66B67">
              <w:rPr>
                <w:noProof/>
                <w:webHidden/>
              </w:rPr>
              <w:fldChar w:fldCharType="end"/>
            </w:r>
          </w:hyperlink>
        </w:p>
        <w:p w14:paraId="53A2618C" w14:textId="7C0223A4" w:rsidR="00C46851" w:rsidRDefault="00EC106C" w:rsidP="00DF6D3F">
          <w:pPr>
            <w:tabs>
              <w:tab w:val="left" w:pos="1455"/>
            </w:tabs>
            <w:rPr>
              <w:b/>
              <w:bCs/>
              <w:noProof/>
            </w:rPr>
          </w:pPr>
          <w:r>
            <w:rPr>
              <w:b/>
              <w:bCs/>
              <w:noProof/>
            </w:rPr>
            <w:fldChar w:fldCharType="end"/>
          </w:r>
        </w:p>
      </w:sdtContent>
    </w:sdt>
    <w:p w14:paraId="178512E6" w14:textId="7FE7086A" w:rsidR="000B3A29" w:rsidRDefault="000B3A29" w:rsidP="000B3A29">
      <w:pPr>
        <w:pStyle w:val="Heading1"/>
      </w:pPr>
      <w:bookmarkStart w:id="9" w:name="_Toc494379457"/>
      <w:r>
        <w:t>Documentation Included with This Release</w:t>
      </w:r>
      <w:bookmarkEnd w:id="9"/>
    </w:p>
    <w:p w14:paraId="6732CFA1" w14:textId="77777777" w:rsidR="009577E5" w:rsidRPr="00CC0C71" w:rsidRDefault="009577E5" w:rsidP="009577E5">
      <w:r w:rsidRPr="00CC0C71">
        <w:t>The documentation included in this release:</w:t>
      </w:r>
    </w:p>
    <w:p w14:paraId="235437AB" w14:textId="77777777" w:rsidR="009577E5" w:rsidRPr="00CC0C71" w:rsidRDefault="009577E5" w:rsidP="00E469F6">
      <w:pPr>
        <w:pStyle w:val="ListParagraph"/>
        <w:numPr>
          <w:ilvl w:val="0"/>
          <w:numId w:val="2"/>
        </w:numPr>
        <w:spacing w:after="0" w:line="240" w:lineRule="auto"/>
        <w:ind w:left="1080"/>
      </w:pPr>
      <w:r w:rsidRPr="00CC0C71">
        <w:t>MHDO’s Release Notes (this document)</w:t>
      </w:r>
      <w:bookmarkStart w:id="10" w:name="_GoBack"/>
      <w:bookmarkEnd w:id="10"/>
    </w:p>
    <w:p w14:paraId="70E86F56" w14:textId="0F6E1A2B" w:rsidR="009577E5" w:rsidRPr="00CC0C71" w:rsidRDefault="00063E4F" w:rsidP="00E469F6">
      <w:pPr>
        <w:pStyle w:val="ListParagraph"/>
        <w:numPr>
          <w:ilvl w:val="0"/>
          <w:numId w:val="2"/>
        </w:numPr>
        <w:spacing w:after="0" w:line="240" w:lineRule="auto"/>
        <w:ind w:left="1080"/>
      </w:pPr>
      <w:r>
        <w:t>MHDO’s 201</w:t>
      </w:r>
      <w:r w:rsidR="00B57347">
        <w:t>7 Q</w:t>
      </w:r>
      <w:r w:rsidR="00B22967">
        <w:t>3</w:t>
      </w:r>
      <w:r w:rsidR="009577E5" w:rsidRPr="00CC0C71">
        <w:t xml:space="preserve"> Release Report</w:t>
      </w:r>
    </w:p>
    <w:p w14:paraId="20043CBE" w14:textId="171E5505" w:rsidR="009577E5" w:rsidRPr="00CC0C71" w:rsidRDefault="00E9369D" w:rsidP="00E469F6">
      <w:pPr>
        <w:pStyle w:val="ListParagraph"/>
        <w:numPr>
          <w:ilvl w:val="0"/>
          <w:numId w:val="2"/>
        </w:numPr>
        <w:spacing w:after="0" w:line="240" w:lineRule="auto"/>
        <w:ind w:left="1080"/>
      </w:pPr>
      <w:r>
        <w:t xml:space="preserve">MHDO’s </w:t>
      </w:r>
      <w:r w:rsidR="00063E4F">
        <w:t>201</w:t>
      </w:r>
      <w:r w:rsidR="00B57347">
        <w:t>7 Q</w:t>
      </w:r>
      <w:r w:rsidR="00B22967">
        <w:t>3</w:t>
      </w:r>
      <w:r w:rsidR="009577E5">
        <w:t xml:space="preserve"> </w:t>
      </w:r>
      <w:r w:rsidR="009577E5" w:rsidRPr="00CC0C71">
        <w:t xml:space="preserve">Payer </w:t>
      </w:r>
      <w:r w:rsidR="007D555E">
        <w:t>Index</w:t>
      </w:r>
    </w:p>
    <w:p w14:paraId="5D9AFA4C" w14:textId="3027534D" w:rsidR="009577E5" w:rsidRDefault="009577E5" w:rsidP="00E469F6">
      <w:pPr>
        <w:pStyle w:val="ListParagraph"/>
        <w:numPr>
          <w:ilvl w:val="0"/>
          <w:numId w:val="2"/>
        </w:numPr>
        <w:spacing w:after="0" w:line="240" w:lineRule="auto"/>
        <w:ind w:left="1080"/>
      </w:pPr>
      <w:r w:rsidRPr="008F31E3">
        <w:t>MHDO</w:t>
      </w:r>
      <w:r w:rsidR="00017853">
        <w:t>’s</w:t>
      </w:r>
      <w:r w:rsidRPr="008F31E3">
        <w:t xml:space="preserve"> </w:t>
      </w:r>
      <w:r w:rsidR="00B57347">
        <w:t>2017 Q</w:t>
      </w:r>
      <w:r w:rsidR="00B22967">
        <w:t>3</w:t>
      </w:r>
      <w:r w:rsidR="00E9369D">
        <w:t xml:space="preserve"> </w:t>
      </w:r>
      <w:r w:rsidRPr="008F31E3">
        <w:t>Validation Report</w:t>
      </w:r>
    </w:p>
    <w:p w14:paraId="6FB36B30" w14:textId="792133B6" w:rsidR="00E77C69" w:rsidRDefault="00E77C69" w:rsidP="00E469F6">
      <w:pPr>
        <w:pStyle w:val="ListParagraph"/>
        <w:numPr>
          <w:ilvl w:val="0"/>
          <w:numId w:val="2"/>
        </w:numPr>
        <w:spacing w:after="0" w:line="240" w:lineRule="auto"/>
        <w:ind w:left="1080"/>
      </w:pPr>
      <w:r>
        <w:t>MHDO’s APCD FAQ</w:t>
      </w:r>
    </w:p>
    <w:p w14:paraId="7C1216BF" w14:textId="766561DC" w:rsidR="000C3291" w:rsidRDefault="000A416B" w:rsidP="00E469F6">
      <w:pPr>
        <w:pStyle w:val="ListParagraph"/>
        <w:numPr>
          <w:ilvl w:val="0"/>
          <w:numId w:val="2"/>
        </w:numPr>
        <w:spacing w:after="0" w:line="240" w:lineRule="auto"/>
        <w:ind w:left="1080"/>
      </w:pPr>
      <w:r>
        <w:t>MHMC’s Methodology for Removing D</w:t>
      </w:r>
      <w:r w:rsidR="000C3291" w:rsidRPr="000C3291">
        <w:t>uplicate Rx Claims</w:t>
      </w:r>
    </w:p>
    <w:p w14:paraId="79F88111" w14:textId="50FB91FC" w:rsidR="003C4FE2" w:rsidRDefault="003C4FE2" w:rsidP="009577E5">
      <w:pPr>
        <w:pStyle w:val="Heading1"/>
      </w:pPr>
      <w:bookmarkStart w:id="11" w:name="_Toc494379458"/>
      <w:r>
        <w:t>Member Match to Eligibility</w:t>
      </w:r>
      <w:bookmarkEnd w:id="11"/>
    </w:p>
    <w:p w14:paraId="392B5CAD" w14:textId="10B59A2C" w:rsidR="008C1E29" w:rsidRDefault="0058537B" w:rsidP="000B2DAD">
      <w:r>
        <w:t>Overall, the match rate</w:t>
      </w:r>
      <w:r w:rsidR="00F44694">
        <w:t xml:space="preserve"> (which represents the </w:t>
      </w:r>
      <w:r w:rsidR="0046574E">
        <w:t>percentage of claims that have a matching eligibility record for the member</w:t>
      </w:r>
      <w:r w:rsidR="00F44694">
        <w:t>)</w:t>
      </w:r>
      <w:r>
        <w:t xml:space="preserve"> is high for all claims.  </w:t>
      </w:r>
      <w:r w:rsidR="003C4FE2">
        <w:t xml:space="preserve">Information on these match rates can be found in </w:t>
      </w:r>
      <w:r w:rsidR="00CA44F8">
        <w:t>MHD</w:t>
      </w:r>
      <w:r w:rsidR="00C7367F">
        <w:t>O’s 2017 Q</w:t>
      </w:r>
      <w:r w:rsidR="00B22967">
        <w:t>3</w:t>
      </w:r>
      <w:r w:rsidR="003C4FE2" w:rsidRPr="003C4FE2">
        <w:t xml:space="preserve"> Release Report</w:t>
      </w:r>
      <w:r w:rsidR="003C4FE2" w:rsidRPr="699CCB24">
        <w:t>.</w:t>
      </w:r>
      <w:r w:rsidR="005D4CF2">
        <w:t xml:space="preserve"> </w:t>
      </w:r>
    </w:p>
    <w:p w14:paraId="4F8F3E4D" w14:textId="1F3B34BC" w:rsidR="008C1E29" w:rsidRPr="008C1E29" w:rsidRDefault="008C1E29" w:rsidP="001333C5">
      <w:pPr>
        <w:spacing w:after="0"/>
        <w:rPr>
          <w:b/>
        </w:rPr>
      </w:pPr>
      <w:r w:rsidRPr="008C1E29">
        <w:rPr>
          <w:b/>
        </w:rPr>
        <w:t>Medical</w:t>
      </w:r>
      <w:r w:rsidR="0091449E">
        <w:rPr>
          <w:b/>
        </w:rPr>
        <w:t xml:space="preserve"> Claims File</w:t>
      </w:r>
    </w:p>
    <w:p w14:paraId="14364F7D" w14:textId="67985BFE" w:rsidR="0091449E" w:rsidRDefault="37B4AAB3" w:rsidP="008C1E29">
      <w:r>
        <w:t>The overall match rate for</w:t>
      </w:r>
      <w:r w:rsidR="0091449E">
        <w:t xml:space="preserve"> the</w:t>
      </w:r>
      <w:r>
        <w:t xml:space="preserve"> medical</w:t>
      </w:r>
      <w:r w:rsidR="0091449E">
        <w:t xml:space="preserve"> claims file</w:t>
      </w:r>
      <w:r>
        <w:t xml:space="preserve"> is </w:t>
      </w:r>
      <w:r w:rsidR="00B97DF1">
        <w:t>9</w:t>
      </w:r>
      <w:r w:rsidR="00B22967">
        <w:t>8</w:t>
      </w:r>
      <w:r w:rsidR="00B97DF1">
        <w:t>.</w:t>
      </w:r>
      <w:r w:rsidR="0075492F">
        <w:t>2</w:t>
      </w:r>
      <w:r>
        <w:t xml:space="preserve">%.  </w:t>
      </w:r>
    </w:p>
    <w:p w14:paraId="0BA1661E" w14:textId="08CDA8AA" w:rsidR="008C1E29" w:rsidRPr="008C1E29" w:rsidRDefault="008C1E29" w:rsidP="001333C5">
      <w:pPr>
        <w:spacing w:after="0"/>
        <w:rPr>
          <w:b/>
        </w:rPr>
      </w:pPr>
      <w:r w:rsidRPr="008C1E29">
        <w:rPr>
          <w:b/>
        </w:rPr>
        <w:t>Dental</w:t>
      </w:r>
      <w:r w:rsidR="0091449E">
        <w:rPr>
          <w:b/>
        </w:rPr>
        <w:t xml:space="preserve"> Claims File</w:t>
      </w:r>
    </w:p>
    <w:p w14:paraId="671C8F32" w14:textId="7B386344" w:rsidR="0091449E" w:rsidRDefault="37B4AAB3" w:rsidP="003C4FE2">
      <w:r>
        <w:t>The overall match rate for</w:t>
      </w:r>
      <w:r w:rsidR="0091449E">
        <w:t xml:space="preserve"> the</w:t>
      </w:r>
      <w:r>
        <w:t xml:space="preserve"> dental </w:t>
      </w:r>
      <w:r w:rsidR="0091449E">
        <w:t xml:space="preserve">claims file </w:t>
      </w:r>
      <w:r>
        <w:t xml:space="preserve">is </w:t>
      </w:r>
      <w:r w:rsidR="00D5018A">
        <w:t>98.</w:t>
      </w:r>
      <w:r w:rsidR="00B22967">
        <w:t>7</w:t>
      </w:r>
      <w:r>
        <w:t xml:space="preserve">%. </w:t>
      </w:r>
    </w:p>
    <w:p w14:paraId="6303E694" w14:textId="3312D071" w:rsidR="008C1E29" w:rsidRPr="008C1E29" w:rsidRDefault="008C1E29" w:rsidP="001333C5">
      <w:pPr>
        <w:spacing w:after="0"/>
        <w:rPr>
          <w:b/>
        </w:rPr>
      </w:pPr>
      <w:r w:rsidRPr="008C1E29">
        <w:rPr>
          <w:b/>
        </w:rPr>
        <w:t>Pharmacy</w:t>
      </w:r>
      <w:r w:rsidR="0091449E">
        <w:rPr>
          <w:b/>
        </w:rPr>
        <w:t xml:space="preserve"> Claims File</w:t>
      </w:r>
    </w:p>
    <w:p w14:paraId="76510E59" w14:textId="137F8C23" w:rsidR="000F34B5" w:rsidRDefault="37B4AAB3" w:rsidP="003C4FE2">
      <w:r>
        <w:t>The overall match rate for</w:t>
      </w:r>
      <w:r w:rsidR="0091449E">
        <w:t xml:space="preserve"> the pharmacy claims file is</w:t>
      </w:r>
      <w:r>
        <w:t xml:space="preserve"> </w:t>
      </w:r>
      <w:r w:rsidR="00D12251">
        <w:t>99.1</w:t>
      </w:r>
      <w:r>
        <w:t xml:space="preserve">%. </w:t>
      </w:r>
    </w:p>
    <w:p w14:paraId="3D74DAC6" w14:textId="5ACB7F2E" w:rsidR="00EB0367" w:rsidRDefault="009055E7">
      <w:pPr>
        <w:rPr>
          <w:smallCaps/>
          <w:spacing w:val="5"/>
          <w:sz w:val="36"/>
          <w:szCs w:val="36"/>
        </w:rPr>
      </w:pPr>
      <w:bookmarkStart w:id="12" w:name="_Toc494379459"/>
      <w:r>
        <w:t>First Health Life &amp; Health Insurance Company</w:t>
      </w:r>
      <w:r w:rsidRPr="009055E7">
        <w:t xml:space="preserve"> (C0</w:t>
      </w:r>
      <w:r>
        <w:t>177</w:t>
      </w:r>
      <w:r w:rsidRPr="009055E7">
        <w:t>) ha</w:t>
      </w:r>
      <w:r w:rsidR="00B754C2">
        <w:t>s</w:t>
      </w:r>
      <w:r w:rsidRPr="009055E7">
        <w:t xml:space="preserve"> </w:t>
      </w:r>
      <w:r w:rsidR="00B754C2">
        <w:t xml:space="preserve">a </w:t>
      </w:r>
      <w:r w:rsidRPr="009055E7">
        <w:t xml:space="preserve">low match </w:t>
      </w:r>
      <w:r w:rsidR="00B754C2">
        <w:t>rate</w:t>
      </w:r>
      <w:r w:rsidRPr="009055E7">
        <w:t xml:space="preserve"> (less than </w:t>
      </w:r>
      <w:r>
        <w:t>75</w:t>
      </w:r>
      <w:r w:rsidRPr="009055E7">
        <w:t>%). This is due to individuals (</w:t>
      </w:r>
      <w:r w:rsidR="00B754C2">
        <w:t>based on</w:t>
      </w:r>
      <w:r w:rsidRPr="009055E7">
        <w:t xml:space="preserve"> name and DOB) </w:t>
      </w:r>
      <w:r w:rsidR="00B754C2">
        <w:t xml:space="preserve">for </w:t>
      </w:r>
      <w:r w:rsidRPr="009055E7">
        <w:t>wh</w:t>
      </w:r>
      <w:r w:rsidR="00B754C2">
        <w:t>om</w:t>
      </w:r>
      <w:r w:rsidRPr="009055E7">
        <w:t xml:space="preserve"> the eligibility contract number </w:t>
      </w:r>
      <w:r w:rsidR="00B754C2">
        <w:t xml:space="preserve">and </w:t>
      </w:r>
      <w:r w:rsidRPr="009055E7">
        <w:t xml:space="preserve">the </w:t>
      </w:r>
      <w:r w:rsidR="00B754C2">
        <w:t xml:space="preserve">claim </w:t>
      </w:r>
      <w:r w:rsidRPr="009055E7">
        <w:t>contract number</w:t>
      </w:r>
      <w:r w:rsidR="00B754C2">
        <w:t xml:space="preserve"> differ</w:t>
      </w:r>
      <w:r w:rsidRPr="009055E7">
        <w:t xml:space="preserve">. </w:t>
      </w:r>
      <w:r w:rsidR="00B754C2">
        <w:t>First Health</w:t>
      </w:r>
      <w:r>
        <w:t xml:space="preserve"> will be resubmitting June – September data for inclusion in the Q4 2017 release. </w:t>
      </w:r>
      <w:r w:rsidR="004F6962" w:rsidRPr="004F6962">
        <w:t xml:space="preserve">This payer has approximately </w:t>
      </w:r>
      <w:r w:rsidR="004F6962">
        <w:t xml:space="preserve">2,700 </w:t>
      </w:r>
      <w:r w:rsidR="004F6962" w:rsidRPr="004F6962">
        <w:t>pharmacy members per month</w:t>
      </w:r>
      <w:r w:rsidR="00B754C2">
        <w:t>,</w:t>
      </w:r>
      <w:r w:rsidR="004F6962" w:rsidRPr="004F6962">
        <w:t xml:space="preserve"> which represents less than 1% of commercial pharmacy volume.</w:t>
      </w:r>
      <w:r w:rsidR="00EB0367">
        <w:br w:type="page"/>
      </w:r>
    </w:p>
    <w:p w14:paraId="15F103E6" w14:textId="733B1A82" w:rsidR="00F44694" w:rsidRPr="00CA48F7" w:rsidRDefault="476A8A1C" w:rsidP="00CA48F7">
      <w:pPr>
        <w:pStyle w:val="Heading1"/>
      </w:pPr>
      <w:r>
        <w:lastRenderedPageBreak/>
        <w:t xml:space="preserve">Payer </w:t>
      </w:r>
      <w:r w:rsidR="00F44694">
        <w:t xml:space="preserve">Specific </w:t>
      </w:r>
      <w:r w:rsidR="00477502">
        <w:t>Notes</w:t>
      </w:r>
      <w:bookmarkEnd w:id="12"/>
    </w:p>
    <w:p w14:paraId="092B1E3B" w14:textId="1271F5AD" w:rsidR="003850E7" w:rsidRDefault="003850E7" w:rsidP="000C16BC">
      <w:pPr>
        <w:rPr>
          <w:b/>
        </w:rPr>
      </w:pPr>
      <w:r>
        <w:rPr>
          <w:b/>
        </w:rPr>
        <w:t>C0065 – Anthem</w:t>
      </w:r>
    </w:p>
    <w:p w14:paraId="6CF83341" w14:textId="4C71A616" w:rsidR="003850E7" w:rsidRDefault="004550E7" w:rsidP="000C16BC">
      <w:r>
        <w:t xml:space="preserve">Anthem’s supplemental data is </w:t>
      </w:r>
      <w:r w:rsidR="003850E7">
        <w:t>being sent correctly as of August 2017</w:t>
      </w:r>
      <w:r w:rsidR="00B754C2">
        <w:t>,</w:t>
      </w:r>
      <w:r>
        <w:t xml:space="preserve"> but there are issues in the </w:t>
      </w:r>
      <w:r w:rsidR="00DF40A2">
        <w:t xml:space="preserve">January </w:t>
      </w:r>
      <w:r>
        <w:t xml:space="preserve">2015 </w:t>
      </w:r>
      <w:r w:rsidR="00DF40A2">
        <w:t xml:space="preserve">through July 2017 </w:t>
      </w:r>
      <w:r>
        <w:t>data that needed to be addressed.</w:t>
      </w:r>
    </w:p>
    <w:p w14:paraId="424D5B16" w14:textId="31C68821" w:rsidR="004550E7" w:rsidRDefault="004550E7" w:rsidP="004550E7">
      <w:pPr>
        <w:pStyle w:val="ListParagraph"/>
        <w:numPr>
          <w:ilvl w:val="0"/>
          <w:numId w:val="20"/>
        </w:numPr>
      </w:pPr>
      <w:r>
        <w:t>Medicare Part C and Medicare Part D data not populated accurately beginning in 2015.  Medicare Part D is missing from eligibility files, and Part D claim data decreases over the first 11 months of 2015 before dropping off completely in December 2015.</w:t>
      </w:r>
    </w:p>
    <w:p w14:paraId="2CAC3C1A" w14:textId="47BEB71E" w:rsidR="004550E7" w:rsidRDefault="004550E7" w:rsidP="004550E7">
      <w:pPr>
        <w:pStyle w:val="ListParagraph"/>
        <w:numPr>
          <w:ilvl w:val="0"/>
          <w:numId w:val="20"/>
        </w:numPr>
      </w:pPr>
      <w:r>
        <w:t>‘SP’ Medicare Supplemental eligibility record volumes ceased as of January 2016, and SP claims volumes ceased as of July 2015.</w:t>
      </w:r>
    </w:p>
    <w:p w14:paraId="668A7481" w14:textId="72E57779" w:rsidR="004550E7" w:rsidRDefault="004550E7" w:rsidP="004550E7">
      <w:pPr>
        <w:pStyle w:val="ListParagraph"/>
        <w:numPr>
          <w:ilvl w:val="0"/>
          <w:numId w:val="20"/>
        </w:numPr>
      </w:pPr>
      <w:r>
        <w:t>Indemnity, ‘IN’, eligibility volumes increased significantly beginning in January 2016.</w:t>
      </w:r>
    </w:p>
    <w:p w14:paraId="50F2C46F" w14:textId="302F4854" w:rsidR="004550E7" w:rsidRDefault="004550E7" w:rsidP="004550E7">
      <w:pPr>
        <w:pStyle w:val="ListParagraph"/>
        <w:numPr>
          <w:ilvl w:val="0"/>
          <w:numId w:val="20"/>
        </w:numPr>
      </w:pPr>
      <w:r>
        <w:t xml:space="preserve">Medicare Advantage products mapped to product type codes HM or PR.  </w:t>
      </w:r>
    </w:p>
    <w:p w14:paraId="2DD08AC1" w14:textId="16D732C2" w:rsidR="0063077C" w:rsidRDefault="004550E7" w:rsidP="004550E7">
      <w:r>
        <w:t xml:space="preserve">Anthem has resubmitted supplemental files </w:t>
      </w:r>
      <w:r w:rsidR="00DF40A2">
        <w:t xml:space="preserve">to fill the reporting gaps and provided logic to recode </w:t>
      </w:r>
      <w:r w:rsidR="00DF40A2" w:rsidRPr="00DF40A2">
        <w:t>Medicare Supplemental and Medicare Advantage members in historical files</w:t>
      </w:r>
      <w:r w:rsidR="00DF40A2">
        <w:t>.</w:t>
      </w:r>
      <w:r>
        <w:t xml:space="preserve"> </w:t>
      </w:r>
      <w:r w:rsidR="00DF40A2">
        <w:t>These issues will be addressed as part of the</w:t>
      </w:r>
      <w:r>
        <w:t xml:space="preserve"> Q4 2017 release.</w:t>
      </w:r>
    </w:p>
    <w:p w14:paraId="61D80F33" w14:textId="7053875E" w:rsidR="000C16BC" w:rsidRPr="000C16BC" w:rsidRDefault="000C16BC" w:rsidP="000C16BC">
      <w:pPr>
        <w:rPr>
          <w:b/>
        </w:rPr>
      </w:pPr>
      <w:r>
        <w:rPr>
          <w:b/>
        </w:rPr>
        <w:t>T0005</w:t>
      </w:r>
      <w:r w:rsidRPr="000C16BC">
        <w:rPr>
          <w:b/>
        </w:rPr>
        <w:t xml:space="preserve"> </w:t>
      </w:r>
      <w:r>
        <w:rPr>
          <w:b/>
        </w:rPr>
        <w:t xml:space="preserve">- </w:t>
      </w:r>
      <w:r w:rsidRPr="000C16BC">
        <w:rPr>
          <w:b/>
        </w:rPr>
        <w:t xml:space="preserve">Caremark </w:t>
      </w:r>
    </w:p>
    <w:p w14:paraId="0F565795" w14:textId="4C3EAA6C" w:rsidR="000C16BC" w:rsidRPr="000C16BC" w:rsidRDefault="004550E7" w:rsidP="000C16BC">
      <w:r>
        <w:t xml:space="preserve">September </w:t>
      </w:r>
      <w:r w:rsidR="000C16BC" w:rsidRPr="000C16BC">
        <w:t>2017 eligibility is 29.5% lower than average for Jan</w:t>
      </w:r>
      <w:r>
        <w:t>uary</w:t>
      </w:r>
      <w:r w:rsidR="000C16BC" w:rsidRPr="000C16BC">
        <w:t>-Aug</w:t>
      </w:r>
      <w:r>
        <w:t>ust</w:t>
      </w:r>
      <w:r w:rsidR="000C16BC" w:rsidRPr="000C16BC">
        <w:t xml:space="preserve"> 2017 and Sept 2017 pharmacy claims </w:t>
      </w:r>
      <w:r>
        <w:t>are</w:t>
      </w:r>
      <w:r w:rsidR="000C16BC" w:rsidRPr="000C16BC">
        <w:t xml:space="preserve"> 9.5% lower than average for the same period. Although the drop in membership appears </w:t>
      </w:r>
      <w:r w:rsidR="007248B3">
        <w:t>significant</w:t>
      </w:r>
      <w:r w:rsidR="000C16BC" w:rsidRPr="000C16BC">
        <w:t xml:space="preserve">, please remember that Caremark may no longer be submitting claims data directly on behalf of payer clients </w:t>
      </w:r>
      <w:r w:rsidR="007248B3">
        <w:t>(</w:t>
      </w:r>
      <w:r w:rsidR="000C16BC" w:rsidRPr="000C16BC">
        <w:t>like Aetna</w:t>
      </w:r>
      <w:r w:rsidR="007248B3">
        <w:t>)</w:t>
      </w:r>
      <w:r w:rsidR="000C16BC" w:rsidRPr="000C16BC">
        <w:t xml:space="preserve"> that have large Maine-based employers likely to opt into submission of their data to Maine’s APCD.</w:t>
      </w:r>
    </w:p>
    <w:p w14:paraId="19778256" w14:textId="48C9A2F8" w:rsidR="009E7D90" w:rsidRDefault="00AB2D72" w:rsidP="00B320A9">
      <w:pPr>
        <w:rPr>
          <w:b/>
        </w:rPr>
      </w:pPr>
      <w:bookmarkStart w:id="13" w:name="_Hlk493690402"/>
      <w:r>
        <w:rPr>
          <w:b/>
        </w:rPr>
        <w:t>C0010 &amp; C0011 – Aetna</w:t>
      </w:r>
    </w:p>
    <w:bookmarkEnd w:id="13"/>
    <w:p w14:paraId="3EFCB566" w14:textId="2BE26E59" w:rsidR="00B320A9" w:rsidRDefault="00B320A9" w:rsidP="00B320A9">
      <w:r w:rsidRPr="00B320A9">
        <w:t xml:space="preserve">Aetna is reporting </w:t>
      </w:r>
      <w:r w:rsidR="007A6E0C">
        <w:t>ICD codes</w:t>
      </w:r>
      <w:r w:rsidR="00DB7B97">
        <w:t xml:space="preserve"> to the MHDO </w:t>
      </w:r>
      <w:r w:rsidR="007A6E0C">
        <w:t>but</w:t>
      </w:r>
      <w:r w:rsidRPr="00B320A9">
        <w:t xml:space="preserve"> </w:t>
      </w:r>
      <w:r w:rsidR="00DB7B97">
        <w:t xml:space="preserve">not </w:t>
      </w:r>
      <w:r w:rsidRPr="00B320A9">
        <w:t>as they appear o</w:t>
      </w:r>
      <w:r w:rsidR="007A6E0C">
        <w:t>n the incoming claims.</w:t>
      </w:r>
      <w:r w:rsidRPr="00B320A9">
        <w:t xml:space="preserve"> </w:t>
      </w:r>
      <w:r w:rsidR="00945EC3">
        <w:t>Aetna is</w:t>
      </w:r>
      <w:r w:rsidR="007A6E0C">
        <w:t xml:space="preserve"> working on a</w:t>
      </w:r>
      <w:r w:rsidR="007A6E0C" w:rsidRPr="007A6E0C">
        <w:t xml:space="preserve"> new data store which will allow </w:t>
      </w:r>
      <w:r w:rsidR="007A6E0C">
        <w:t>them</w:t>
      </w:r>
      <w:r w:rsidR="007A6E0C" w:rsidRPr="007A6E0C">
        <w:t xml:space="preserve"> to capture the </w:t>
      </w:r>
      <w:r w:rsidR="00DB7B97">
        <w:t xml:space="preserve">ICD codes </w:t>
      </w:r>
      <w:r w:rsidR="00084E0E">
        <w:t xml:space="preserve">and submit </w:t>
      </w:r>
      <w:r w:rsidR="00DB7B97">
        <w:t>to the MHDO as they appear on the incoming claims.  This should be</w:t>
      </w:r>
      <w:r w:rsidR="007A6E0C" w:rsidRPr="00A51307">
        <w:t xml:space="preserve"> completed </w:t>
      </w:r>
      <w:r w:rsidR="00A51307" w:rsidRPr="00A51307">
        <w:t>late</w:t>
      </w:r>
      <w:r w:rsidR="00A51307">
        <w:t xml:space="preserve"> 2017</w:t>
      </w:r>
      <w:r w:rsidR="00DB7B97">
        <w:t>/</w:t>
      </w:r>
      <w:r w:rsidR="00A51307">
        <w:t>early 2018</w:t>
      </w:r>
      <w:r w:rsidR="007A6E0C" w:rsidRPr="007A6E0C">
        <w:t>.</w:t>
      </w:r>
      <w:r w:rsidR="007A6E0C">
        <w:t xml:space="preserve"> The information below </w:t>
      </w:r>
      <w:r w:rsidR="007A6E0C" w:rsidRPr="00656FCF">
        <w:t>details</w:t>
      </w:r>
      <w:r w:rsidR="00945EC3" w:rsidRPr="00656FCF">
        <w:t xml:space="preserve"> how </w:t>
      </w:r>
      <w:r w:rsidR="00DC7685" w:rsidRPr="00656FCF">
        <w:t xml:space="preserve">Aetna is reporting ICD-10 codes </w:t>
      </w:r>
      <w:r w:rsidR="00945EC3" w:rsidRPr="00656FCF">
        <w:t>in the interim</w:t>
      </w:r>
      <w:r w:rsidR="00DC7685" w:rsidRPr="00656FCF">
        <w:t>.</w:t>
      </w:r>
      <w:r w:rsidR="00945EC3" w:rsidRPr="00656FCF">
        <w:t xml:space="preserve"> </w:t>
      </w:r>
    </w:p>
    <w:tbl>
      <w:tblPr>
        <w:tblStyle w:val="TableGrid"/>
        <w:tblW w:w="0" w:type="auto"/>
        <w:tblLook w:val="04A0" w:firstRow="1" w:lastRow="0" w:firstColumn="1" w:lastColumn="0" w:noHBand="0" w:noVBand="1"/>
      </w:tblPr>
      <w:tblGrid>
        <w:gridCol w:w="1795"/>
        <w:gridCol w:w="7555"/>
      </w:tblGrid>
      <w:tr w:rsidR="009E736B" w14:paraId="6389E4BA" w14:textId="77777777" w:rsidTr="00A3261D">
        <w:trPr>
          <w:tblHeader/>
        </w:trPr>
        <w:tc>
          <w:tcPr>
            <w:tcW w:w="1795" w:type="dxa"/>
          </w:tcPr>
          <w:p w14:paraId="552C0183" w14:textId="55B28C33" w:rsidR="009E736B" w:rsidRPr="00A3261D" w:rsidRDefault="009E736B" w:rsidP="00B320A9">
            <w:pPr>
              <w:rPr>
                <w:b/>
              </w:rPr>
            </w:pPr>
            <w:r w:rsidRPr="00A3261D">
              <w:rPr>
                <w:b/>
              </w:rPr>
              <w:t>Data Element</w:t>
            </w:r>
          </w:p>
        </w:tc>
        <w:tc>
          <w:tcPr>
            <w:tcW w:w="7555" w:type="dxa"/>
          </w:tcPr>
          <w:p w14:paraId="1442D8F5" w14:textId="0F7DD536" w:rsidR="009E736B" w:rsidRPr="00A3261D" w:rsidRDefault="009E736B" w:rsidP="00B320A9">
            <w:pPr>
              <w:rPr>
                <w:b/>
              </w:rPr>
            </w:pPr>
            <w:r w:rsidRPr="00A3261D">
              <w:rPr>
                <w:b/>
              </w:rPr>
              <w:t>Notes</w:t>
            </w:r>
          </w:p>
        </w:tc>
      </w:tr>
      <w:tr w:rsidR="00A3261D" w14:paraId="53212616" w14:textId="77777777" w:rsidTr="00A3261D">
        <w:tc>
          <w:tcPr>
            <w:tcW w:w="1795" w:type="dxa"/>
          </w:tcPr>
          <w:p w14:paraId="3C18967A" w14:textId="641D6C92" w:rsidR="00A3261D" w:rsidRDefault="00A3261D" w:rsidP="00A3261D">
            <w:r w:rsidRPr="000F53B6">
              <w:t xml:space="preserve">MC200 </w:t>
            </w:r>
          </w:p>
        </w:tc>
        <w:tc>
          <w:tcPr>
            <w:tcW w:w="7555" w:type="dxa"/>
          </w:tcPr>
          <w:p w14:paraId="1651972C" w14:textId="16FEEAEB" w:rsidR="00A3261D" w:rsidRDefault="00A3261D" w:rsidP="00A3261D">
            <w:r>
              <w:t>W</w:t>
            </w:r>
            <w:r w:rsidRPr="000F53B6">
              <w:t xml:space="preserve">ill be populated with any ICD-10 code.  </w:t>
            </w:r>
          </w:p>
        </w:tc>
      </w:tr>
      <w:tr w:rsidR="00A3261D" w14:paraId="06A39AE5" w14:textId="77777777" w:rsidTr="00A3261D">
        <w:tc>
          <w:tcPr>
            <w:tcW w:w="1795" w:type="dxa"/>
          </w:tcPr>
          <w:p w14:paraId="39BEEF30" w14:textId="4F2F4D0E" w:rsidR="00A3261D" w:rsidRDefault="00A3261D" w:rsidP="00A3261D">
            <w:r>
              <w:t>MC202</w:t>
            </w:r>
          </w:p>
        </w:tc>
        <w:tc>
          <w:tcPr>
            <w:tcW w:w="7555" w:type="dxa"/>
          </w:tcPr>
          <w:p w14:paraId="6CEACC11" w14:textId="5D9BF935" w:rsidR="00A3261D" w:rsidRDefault="00A3261D" w:rsidP="00A3261D">
            <w:r>
              <w:t>W</w:t>
            </w:r>
            <w:r w:rsidRPr="000F53B6">
              <w:t xml:space="preserve">ill be populated with any ICD-10 code for inpatient facility claims only.  If there is only one ICD-10 code billed by the provider the code can be populated in both the MC200 and the MC202. Unable to distinguish the admitting versus principal diagnosis in our claims system. </w:t>
            </w:r>
          </w:p>
        </w:tc>
      </w:tr>
      <w:tr w:rsidR="00A3261D" w14:paraId="437C52E3" w14:textId="77777777" w:rsidTr="00A3261D">
        <w:tc>
          <w:tcPr>
            <w:tcW w:w="1795" w:type="dxa"/>
          </w:tcPr>
          <w:p w14:paraId="4D79FA43" w14:textId="3FE52CA2" w:rsidR="00A3261D" w:rsidRDefault="00A3261D" w:rsidP="00A3261D">
            <w:r>
              <w:t xml:space="preserve">MC203 - </w:t>
            </w:r>
            <w:r w:rsidRPr="000F53B6">
              <w:t xml:space="preserve">MC205 (Reason Codes) </w:t>
            </w:r>
          </w:p>
        </w:tc>
        <w:tc>
          <w:tcPr>
            <w:tcW w:w="7555" w:type="dxa"/>
          </w:tcPr>
          <w:p w14:paraId="5B82C995" w14:textId="06EF2FA8" w:rsidR="00A3261D" w:rsidRDefault="00A3261D" w:rsidP="00A3261D">
            <w:r>
              <w:t>I</w:t>
            </w:r>
            <w:r w:rsidRPr="000F53B6">
              <w:t>t would be reasonable if Aetna leaves these three fields null in the data.</w:t>
            </w:r>
          </w:p>
        </w:tc>
      </w:tr>
      <w:tr w:rsidR="00A3261D" w14:paraId="4ED170D2" w14:textId="77777777" w:rsidTr="00A3261D">
        <w:tc>
          <w:tcPr>
            <w:tcW w:w="1795" w:type="dxa"/>
          </w:tcPr>
          <w:p w14:paraId="1384AEAD" w14:textId="72A6E662" w:rsidR="00A3261D" w:rsidRDefault="00A3261D" w:rsidP="00A3261D">
            <w:r w:rsidRPr="000F53B6">
              <w:t xml:space="preserve">MC206 </w:t>
            </w:r>
          </w:p>
        </w:tc>
        <w:tc>
          <w:tcPr>
            <w:tcW w:w="7555" w:type="dxa"/>
          </w:tcPr>
          <w:p w14:paraId="642DDF03" w14:textId="202BAC07" w:rsidR="00A3261D" w:rsidRDefault="00A3261D" w:rsidP="00A3261D">
            <w:r>
              <w:t>W</w:t>
            </w:r>
            <w:r w:rsidRPr="000F53B6">
              <w:t>ill be populated when the first byte of the ICD-10 diagnosis code is equal to ‘V’, ‘W’, ‘X’, or ‘Y’ and is not equal to the value in MC200.</w:t>
            </w:r>
          </w:p>
        </w:tc>
      </w:tr>
      <w:tr w:rsidR="00A3261D" w14:paraId="17BD4444" w14:textId="77777777" w:rsidTr="00A3261D">
        <w:tc>
          <w:tcPr>
            <w:tcW w:w="1795" w:type="dxa"/>
          </w:tcPr>
          <w:p w14:paraId="53E2165C" w14:textId="1B1E82B9" w:rsidR="00A3261D" w:rsidRDefault="00A3261D" w:rsidP="00A3261D">
            <w:r>
              <w:t>MC208</w:t>
            </w:r>
          </w:p>
        </w:tc>
        <w:tc>
          <w:tcPr>
            <w:tcW w:w="7555" w:type="dxa"/>
          </w:tcPr>
          <w:p w14:paraId="23809ABF" w14:textId="54CC3DC9" w:rsidR="00A3261D" w:rsidRDefault="00A3261D" w:rsidP="00A3261D">
            <w:r>
              <w:t>W</w:t>
            </w:r>
            <w:r w:rsidRPr="000F53B6">
              <w:t>ill be populated when the first byte of the ICD-10 diagnosis code is equal to ‘V’, ‘W’, ‘X’, or ‘Y’ and is not equal to the value in MC200, or MC206.</w:t>
            </w:r>
          </w:p>
        </w:tc>
      </w:tr>
      <w:tr w:rsidR="00A3261D" w14:paraId="2E70BA4C" w14:textId="77777777" w:rsidTr="00A3261D">
        <w:tc>
          <w:tcPr>
            <w:tcW w:w="1795" w:type="dxa"/>
          </w:tcPr>
          <w:p w14:paraId="52F0A4FE" w14:textId="1056E55D" w:rsidR="00A3261D" w:rsidRDefault="00A3261D" w:rsidP="00A3261D">
            <w:r>
              <w:t>MC210</w:t>
            </w:r>
          </w:p>
        </w:tc>
        <w:tc>
          <w:tcPr>
            <w:tcW w:w="7555" w:type="dxa"/>
          </w:tcPr>
          <w:p w14:paraId="74F67844" w14:textId="003747D7" w:rsidR="00A3261D" w:rsidRDefault="00A3261D" w:rsidP="00A3261D">
            <w:r>
              <w:t>W</w:t>
            </w:r>
            <w:r w:rsidRPr="000F53B6">
              <w:t>ill be populated when the first byte of the ICD-10 diagnosis code is equal to ‘V’, ‘W’, ‘X’, or ‘Y’ and is not equal to the value in MC200, MC206 or MC208.</w:t>
            </w:r>
          </w:p>
        </w:tc>
      </w:tr>
      <w:tr w:rsidR="00A3261D" w14:paraId="4F6D5097" w14:textId="77777777" w:rsidTr="00A3261D">
        <w:tc>
          <w:tcPr>
            <w:tcW w:w="1795" w:type="dxa"/>
          </w:tcPr>
          <w:p w14:paraId="35A7B72C" w14:textId="3C55054F" w:rsidR="00A3261D" w:rsidRDefault="00A3261D" w:rsidP="00A3261D">
            <w:r>
              <w:lastRenderedPageBreak/>
              <w:t>MC212</w:t>
            </w:r>
          </w:p>
        </w:tc>
        <w:tc>
          <w:tcPr>
            <w:tcW w:w="7555" w:type="dxa"/>
          </w:tcPr>
          <w:p w14:paraId="7E2AEA59" w14:textId="26E352F9" w:rsidR="00A3261D" w:rsidRDefault="00A3261D" w:rsidP="00A3261D">
            <w:r>
              <w:t>W</w:t>
            </w:r>
            <w:r w:rsidRPr="000F53B6">
              <w:t>ill be populated when the first byte of the ICD-10 diagnosis code is equal to ‘V’, ‘W’, ‘X’, or ‘Y’ and is not equal to the value in MC200, MC206, MC208, or MC210.</w:t>
            </w:r>
          </w:p>
        </w:tc>
      </w:tr>
      <w:tr w:rsidR="00A3261D" w14:paraId="26B6F14B" w14:textId="77777777" w:rsidTr="00A3261D">
        <w:tc>
          <w:tcPr>
            <w:tcW w:w="1795" w:type="dxa"/>
          </w:tcPr>
          <w:p w14:paraId="181CF2DD" w14:textId="27CCD86E" w:rsidR="00A3261D" w:rsidRDefault="00A3261D" w:rsidP="00A3261D">
            <w:r>
              <w:t xml:space="preserve">MC214 </w:t>
            </w:r>
          </w:p>
        </w:tc>
        <w:tc>
          <w:tcPr>
            <w:tcW w:w="7555" w:type="dxa"/>
          </w:tcPr>
          <w:p w14:paraId="299DD311" w14:textId="2C6DB243" w:rsidR="00A3261D" w:rsidRDefault="00A3261D" w:rsidP="00A3261D">
            <w:r>
              <w:t>W</w:t>
            </w:r>
            <w:r w:rsidRPr="000F53B6">
              <w:t>ill be populated when the first byte of the ICD-10 diagnosis code is equal to ‘V’, ‘W’, ‘X’, or ‘Y’ and is not equal to the value in MC200, MC206, MC208, MC210, or MC212.</w:t>
            </w:r>
          </w:p>
        </w:tc>
      </w:tr>
      <w:tr w:rsidR="00A3261D" w14:paraId="4B6EE65E" w14:textId="77777777" w:rsidTr="00A3261D">
        <w:tc>
          <w:tcPr>
            <w:tcW w:w="1795" w:type="dxa"/>
          </w:tcPr>
          <w:p w14:paraId="29A2B98B" w14:textId="4196DD0A" w:rsidR="00A3261D" w:rsidRDefault="00A3261D" w:rsidP="00A3261D">
            <w:r>
              <w:t>MC216</w:t>
            </w:r>
          </w:p>
        </w:tc>
        <w:tc>
          <w:tcPr>
            <w:tcW w:w="7555" w:type="dxa"/>
          </w:tcPr>
          <w:p w14:paraId="62B4C177" w14:textId="337E86A9" w:rsidR="00A3261D" w:rsidRDefault="00A3261D" w:rsidP="00A3261D">
            <w:r>
              <w:t>W</w:t>
            </w:r>
            <w:r w:rsidRPr="000F53B6">
              <w:t>ill be populated when the first byte of the ICD-10 diagnosis code is equal to ‘V’, ‘W’, ‘X’, or ‘Y’ and is not equal to the value in MC200, MC206, MC208, MC210, MC212, or MC214.</w:t>
            </w:r>
          </w:p>
        </w:tc>
      </w:tr>
      <w:tr w:rsidR="00A3261D" w14:paraId="468DFF47" w14:textId="77777777" w:rsidTr="00A3261D">
        <w:tc>
          <w:tcPr>
            <w:tcW w:w="1795" w:type="dxa"/>
          </w:tcPr>
          <w:p w14:paraId="0D5A46A0" w14:textId="3CE036A8" w:rsidR="00A3261D" w:rsidRDefault="00A3261D" w:rsidP="00A3261D">
            <w:r>
              <w:t xml:space="preserve">MC218 </w:t>
            </w:r>
          </w:p>
        </w:tc>
        <w:tc>
          <w:tcPr>
            <w:tcW w:w="7555" w:type="dxa"/>
          </w:tcPr>
          <w:p w14:paraId="5B5427F6" w14:textId="709039D2" w:rsidR="00A3261D" w:rsidRDefault="00A3261D" w:rsidP="00A3261D">
            <w:r>
              <w:t>W</w:t>
            </w:r>
            <w:r w:rsidRPr="000F53B6">
              <w:t>ill be populated when the first byte of the ICD-10 diagnosis code is equal to ‘V’, ‘W’, ‘X’, or ‘Y’ and is not equal to the value in MC200, MC206, MC208, MC210, MC212, MC214, or MC216.</w:t>
            </w:r>
          </w:p>
        </w:tc>
      </w:tr>
      <w:tr w:rsidR="00A3261D" w14:paraId="22C7DCDD" w14:textId="77777777" w:rsidTr="00A3261D">
        <w:tc>
          <w:tcPr>
            <w:tcW w:w="1795" w:type="dxa"/>
          </w:tcPr>
          <w:p w14:paraId="099AC0A8" w14:textId="41DFF0B7" w:rsidR="00A3261D" w:rsidRDefault="00A3261D" w:rsidP="00A3261D">
            <w:r w:rsidRPr="000F53B6">
              <w:t xml:space="preserve">MC220 </w:t>
            </w:r>
          </w:p>
        </w:tc>
        <w:tc>
          <w:tcPr>
            <w:tcW w:w="7555" w:type="dxa"/>
          </w:tcPr>
          <w:p w14:paraId="10DDA9CD" w14:textId="13AD33FC" w:rsidR="00A3261D" w:rsidRDefault="00A3261D" w:rsidP="00A3261D">
            <w:r>
              <w:t>W</w:t>
            </w:r>
            <w:r w:rsidRPr="000F53B6">
              <w:t>ill be populated when the first byte of the ICD-10 diagnosis code is equal to ‘V’, ‘W’, ‘X’, or ‘Y’ and is not equal to the value in MC200, MC206, MC208, MC210, MC212, MC214, MC216, or MC218.</w:t>
            </w:r>
          </w:p>
        </w:tc>
      </w:tr>
      <w:tr w:rsidR="00A3261D" w14:paraId="11F5DF37" w14:textId="77777777" w:rsidTr="00A3261D">
        <w:tc>
          <w:tcPr>
            <w:tcW w:w="1795" w:type="dxa"/>
          </w:tcPr>
          <w:p w14:paraId="266220EB" w14:textId="737BB78B" w:rsidR="00A3261D" w:rsidRDefault="00A3261D" w:rsidP="00A3261D">
            <w:r>
              <w:t>MC222</w:t>
            </w:r>
          </w:p>
        </w:tc>
        <w:tc>
          <w:tcPr>
            <w:tcW w:w="7555" w:type="dxa"/>
          </w:tcPr>
          <w:p w14:paraId="1D95AC0B" w14:textId="1CEC1FAE" w:rsidR="00A3261D" w:rsidRDefault="00A3261D" w:rsidP="00A3261D">
            <w:r>
              <w:t>W</w:t>
            </w:r>
            <w:r w:rsidRPr="000F53B6">
              <w:t>ill be populated when the first byte of the ICD-10 diagnosis code is equal to ‘V’, ‘W’, ‘X’, or ‘Y’ and is not equal to the value in MC200, MC206, MC208, MC210, MC212, MC214, MC216, MC218, or MC220.</w:t>
            </w:r>
          </w:p>
        </w:tc>
      </w:tr>
      <w:tr w:rsidR="00A3261D" w14:paraId="4C50F2AB" w14:textId="77777777" w:rsidTr="00A3261D">
        <w:tc>
          <w:tcPr>
            <w:tcW w:w="1795" w:type="dxa"/>
          </w:tcPr>
          <w:p w14:paraId="3B07EE61" w14:textId="59270D44" w:rsidR="00A3261D" w:rsidRDefault="00A3261D" w:rsidP="00A3261D">
            <w:r w:rsidRPr="000F53B6">
              <w:t>MC22</w:t>
            </w:r>
            <w:r>
              <w:t>4</w:t>
            </w:r>
          </w:p>
        </w:tc>
        <w:tc>
          <w:tcPr>
            <w:tcW w:w="7555" w:type="dxa"/>
          </w:tcPr>
          <w:p w14:paraId="3A50E43E" w14:textId="22EB9A04" w:rsidR="00A3261D" w:rsidRDefault="00A3261D" w:rsidP="00A3261D">
            <w:r>
              <w:t>W</w:t>
            </w:r>
            <w:r w:rsidRPr="000F53B6">
              <w:t>ill be populated when the first byte of the ICD-10 diagnosis code is equal to ‘V’, ‘W’, ‘X’, or ‘Y’ and is not equal to the value in MC200, MC206, MC208, MC210, MC212, MC214, MC216, MC218, MC220, or MC222.</w:t>
            </w:r>
          </w:p>
        </w:tc>
      </w:tr>
      <w:tr w:rsidR="00A3261D" w14:paraId="158F7A3E" w14:textId="77777777" w:rsidTr="00A3261D">
        <w:tc>
          <w:tcPr>
            <w:tcW w:w="1795" w:type="dxa"/>
          </w:tcPr>
          <w:p w14:paraId="37C7317E" w14:textId="3D698C61" w:rsidR="00A3261D" w:rsidRDefault="00A3261D" w:rsidP="00A3261D">
            <w:r>
              <w:t>MC226</w:t>
            </w:r>
          </w:p>
        </w:tc>
        <w:tc>
          <w:tcPr>
            <w:tcW w:w="7555" w:type="dxa"/>
          </w:tcPr>
          <w:p w14:paraId="6FC28C5B" w14:textId="45F95968" w:rsidR="00A3261D" w:rsidRDefault="00A3261D" w:rsidP="00A3261D">
            <w:r>
              <w:t>W</w:t>
            </w:r>
            <w:r w:rsidRPr="000F53B6">
              <w:t xml:space="preserve">ill be populated when the first byte of the ICD-10 diagnosis code is equal to ‘V’, ‘W’, ‘X’, or ‘Y’ and is not equal to the value in MC200, MC206, MC208, MC210, MC212, MC214, MC216, MC218, MC220, MC222, or MC224.                                            </w:t>
            </w:r>
          </w:p>
        </w:tc>
      </w:tr>
      <w:tr w:rsidR="00A3261D" w14:paraId="3B122202" w14:textId="77777777" w:rsidTr="00A3261D">
        <w:tc>
          <w:tcPr>
            <w:tcW w:w="1795" w:type="dxa"/>
          </w:tcPr>
          <w:p w14:paraId="475F663B" w14:textId="73161D5D" w:rsidR="00A3261D" w:rsidRDefault="00A3261D" w:rsidP="00A3261D">
            <w:r w:rsidRPr="000F53B6">
              <w:t xml:space="preserve">MC228 </w:t>
            </w:r>
          </w:p>
        </w:tc>
        <w:tc>
          <w:tcPr>
            <w:tcW w:w="7555" w:type="dxa"/>
          </w:tcPr>
          <w:p w14:paraId="31E1B60F" w14:textId="405D6D2A" w:rsidR="00A3261D" w:rsidRDefault="00A3261D" w:rsidP="00A3261D">
            <w:r>
              <w:t>Will</w:t>
            </w:r>
            <w:r w:rsidRPr="000F53B6">
              <w:t xml:space="preserve"> be populated when the first byte of the ICD-10 diagnosis code is equal to ‘V’, ‘W’, ‘X’, or ‘Y’ and is not equal to the value in MC200, MC206, MC208, MC210, MC212, MC214, MC216, MC218, MC220, MC222, MC224, or MC226.</w:t>
            </w:r>
          </w:p>
        </w:tc>
      </w:tr>
      <w:tr w:rsidR="00A3261D" w14:paraId="13957AF3" w14:textId="77777777" w:rsidTr="00A3261D">
        <w:tc>
          <w:tcPr>
            <w:tcW w:w="1795" w:type="dxa"/>
          </w:tcPr>
          <w:p w14:paraId="2E0A5050" w14:textId="6968166E" w:rsidR="00A3261D" w:rsidRDefault="00A3261D" w:rsidP="00A3261D">
            <w:r>
              <w:t>MC230 - MC252</w:t>
            </w:r>
          </w:p>
        </w:tc>
        <w:tc>
          <w:tcPr>
            <w:tcW w:w="7555" w:type="dxa"/>
          </w:tcPr>
          <w:p w14:paraId="5CB7D5E4" w14:textId="184C07E2" w:rsidR="00A3261D" w:rsidRDefault="00A3261D" w:rsidP="00A3261D">
            <w:r>
              <w:t>N</w:t>
            </w:r>
            <w:r w:rsidRPr="000F53B6">
              <w:t>ot available in our data as it does not downstream to our adjudication system.</w:t>
            </w:r>
          </w:p>
        </w:tc>
      </w:tr>
      <w:tr w:rsidR="00A3261D" w14:paraId="0172D8EA" w14:textId="77777777" w:rsidTr="00A3261D">
        <w:tc>
          <w:tcPr>
            <w:tcW w:w="1795" w:type="dxa"/>
          </w:tcPr>
          <w:p w14:paraId="1BEFA3E8" w14:textId="39500BA7" w:rsidR="00A3261D" w:rsidRDefault="00A3261D" w:rsidP="00A3261D">
            <w:r>
              <w:t>MC254 – MC274</w:t>
            </w:r>
          </w:p>
        </w:tc>
        <w:tc>
          <w:tcPr>
            <w:tcW w:w="7555" w:type="dxa"/>
          </w:tcPr>
          <w:p w14:paraId="536FC203" w14:textId="4EC1D31C" w:rsidR="00A3261D" w:rsidRDefault="00A3261D" w:rsidP="00A3261D">
            <w:r>
              <w:t>O</w:t>
            </w:r>
            <w:r w:rsidRPr="000F53B6">
              <w:t xml:space="preserve">ther diagnosis fields will be populated with any ICD-10 code that has not already been populated in fields MC200, MC202 or MC206 through MC228. </w:t>
            </w:r>
          </w:p>
        </w:tc>
      </w:tr>
    </w:tbl>
    <w:p w14:paraId="243D51A3" w14:textId="77777777" w:rsidR="009E736B" w:rsidRDefault="009E736B" w:rsidP="00B320A9"/>
    <w:p w14:paraId="059270CA" w14:textId="36B00333" w:rsidR="009577E5" w:rsidRDefault="009577E5" w:rsidP="009577E5">
      <w:pPr>
        <w:pStyle w:val="Heading1"/>
      </w:pPr>
      <w:bookmarkStart w:id="14" w:name="_Toc494379460"/>
      <w:r>
        <w:t>Missing Data</w:t>
      </w:r>
      <w:r w:rsidR="00EC6BC5">
        <w:t xml:space="preserve"> and Other Data Observations</w:t>
      </w:r>
      <w:bookmarkEnd w:id="14"/>
    </w:p>
    <w:p w14:paraId="257EDD09" w14:textId="2680DC6D" w:rsidR="00CE51E1" w:rsidRDefault="00945EC3" w:rsidP="00BD2522">
      <w:pPr>
        <w:spacing w:after="0"/>
      </w:pPr>
      <w:r>
        <w:t>Refer to</w:t>
      </w:r>
      <w:r w:rsidR="00BD2522">
        <w:t xml:space="preserve"> the </w:t>
      </w:r>
      <w:r>
        <w:t xml:space="preserve">MHDO </w:t>
      </w:r>
      <w:r w:rsidR="00BD2522">
        <w:t xml:space="preserve">Payer Index for more information about </w:t>
      </w:r>
      <w:r>
        <w:t xml:space="preserve">payer submitter </w:t>
      </w:r>
      <w:r w:rsidR="00BD2522">
        <w:t xml:space="preserve">deactivations and data end dates. </w:t>
      </w:r>
      <w:r w:rsidR="00F2078A">
        <w:t>As a reminder of our</w:t>
      </w:r>
      <w:r>
        <w:t xml:space="preserve"> data</w:t>
      </w:r>
      <w:r w:rsidR="00F2078A">
        <w:t xml:space="preserve"> release policy, we typically don’t release claims data </w:t>
      </w:r>
      <w:r w:rsidR="00F2078A" w:rsidRPr="00EC06AD">
        <w:t>if the supporting eligibility file was not</w:t>
      </w:r>
      <w:r w:rsidR="00F2078A">
        <w:t xml:space="preserve"> submitted for </w:t>
      </w:r>
      <w:r w:rsidR="00EC06AD">
        <w:t xml:space="preserve">a </w:t>
      </w:r>
      <w:r w:rsidR="00BE50CE" w:rsidRPr="00EC06AD">
        <w:t>particular reporting period</w:t>
      </w:r>
      <w:r w:rsidR="00F2078A">
        <w:t>.</w:t>
      </w:r>
      <w:r w:rsidR="00717B72">
        <w:t xml:space="preserve"> </w:t>
      </w:r>
    </w:p>
    <w:p w14:paraId="38951A77" w14:textId="77777777" w:rsidR="00EB0367" w:rsidRPr="00EB0367" w:rsidRDefault="00EB0367" w:rsidP="00BD2522">
      <w:pPr>
        <w:spacing w:after="0"/>
      </w:pPr>
    </w:p>
    <w:p w14:paraId="7A59F676" w14:textId="5AAC77DA" w:rsidR="00E469F6" w:rsidRPr="00BD2522" w:rsidRDefault="001333C5" w:rsidP="007A4440">
      <w:pPr>
        <w:pStyle w:val="Heading2"/>
      </w:pPr>
      <w:r w:rsidRPr="008C1E29">
        <w:t>Medical</w:t>
      </w:r>
      <w:r w:rsidR="00B60655">
        <w:t xml:space="preserve"> Claims File</w:t>
      </w:r>
    </w:p>
    <w:p w14:paraId="091A7ABC" w14:textId="0629FDEF" w:rsidR="00B614CC" w:rsidRPr="007A4440" w:rsidRDefault="00B614CC" w:rsidP="00B614CC">
      <w:pPr>
        <w:spacing w:after="0"/>
        <w:rPr>
          <w:b/>
        </w:rPr>
      </w:pPr>
      <w:r w:rsidRPr="007A4440">
        <w:rPr>
          <w:b/>
        </w:rPr>
        <w:t>Voluntary Submitter</w:t>
      </w:r>
      <w:r w:rsidR="000164F4" w:rsidRPr="007A4440">
        <w:rPr>
          <w:b/>
        </w:rPr>
        <w:t>s</w:t>
      </w:r>
      <w:r w:rsidRPr="007A4440">
        <w:rPr>
          <w:b/>
        </w:rPr>
        <w:t>:</w:t>
      </w:r>
    </w:p>
    <w:p w14:paraId="57E3257C" w14:textId="1FABBCDE" w:rsidR="00B614CC" w:rsidRDefault="00B614CC" w:rsidP="00B614CC">
      <w:pPr>
        <w:spacing w:after="0"/>
      </w:pPr>
      <w:r>
        <w:t xml:space="preserve">Geisinger Indemnity Insurance Company (T0552) </w:t>
      </w:r>
      <w:r w:rsidR="00D12251">
        <w:t xml:space="preserve">has not submitted </w:t>
      </w:r>
      <w:r>
        <w:t>Q4 2016, Q1, Q2</w:t>
      </w:r>
      <w:r w:rsidR="00B22967">
        <w:t xml:space="preserve"> or Q3</w:t>
      </w:r>
      <w:r>
        <w:t xml:space="preserve"> </w:t>
      </w:r>
      <w:r w:rsidR="004A6CD3">
        <w:t xml:space="preserve">2017 </w:t>
      </w:r>
      <w:r>
        <w:t xml:space="preserve">Medical Claims data. We are working with them to </w:t>
      </w:r>
      <w:r w:rsidR="00D12251">
        <w:t>submit</w:t>
      </w:r>
      <w:r w:rsidR="00945EC3">
        <w:t xml:space="preserve"> self-funded ERISA client</w:t>
      </w:r>
      <w:r>
        <w:t xml:space="preserve"> </w:t>
      </w:r>
      <w:r w:rsidR="00D12251">
        <w:t xml:space="preserve">data </w:t>
      </w:r>
      <w:r>
        <w:t xml:space="preserve">on a </w:t>
      </w:r>
      <w:r>
        <w:lastRenderedPageBreak/>
        <w:t xml:space="preserve">voluntary basis.  </w:t>
      </w:r>
      <w:r w:rsidR="0035746A" w:rsidRPr="00C51CA4">
        <w:t xml:space="preserve">This payer has approximately </w:t>
      </w:r>
      <w:r w:rsidR="00C51CA4" w:rsidRPr="00C51CA4">
        <w:t>17,000</w:t>
      </w:r>
      <w:r w:rsidR="0035746A" w:rsidRPr="00C51CA4">
        <w:t xml:space="preserve"> </w:t>
      </w:r>
      <w:r w:rsidR="00C51CA4" w:rsidRPr="00C51CA4">
        <w:t>medical</w:t>
      </w:r>
      <w:r w:rsidR="00064840">
        <w:t xml:space="preserve"> members per month</w:t>
      </w:r>
      <w:r w:rsidR="004A6CD3">
        <w:t>,</w:t>
      </w:r>
      <w:r w:rsidR="00064840">
        <w:t xml:space="preserve"> which represents less than 3% of commercial medical volume. </w:t>
      </w:r>
    </w:p>
    <w:p w14:paraId="3CA30124" w14:textId="2A905587" w:rsidR="00A624E6" w:rsidRDefault="00A624E6" w:rsidP="001333C5">
      <w:pPr>
        <w:spacing w:after="0"/>
        <w:rPr>
          <w:b/>
          <w:bCs/>
        </w:rPr>
      </w:pPr>
    </w:p>
    <w:p w14:paraId="4406B79F" w14:textId="371FA088" w:rsidR="00C51CA4" w:rsidRDefault="00804CE0" w:rsidP="00C51CA4">
      <w:pPr>
        <w:spacing w:after="0"/>
      </w:pPr>
      <w:r>
        <w:t xml:space="preserve">North America Administrators LP (T0508) is missing April – </w:t>
      </w:r>
      <w:r w:rsidR="004E5585">
        <w:t>September</w:t>
      </w:r>
      <w:r>
        <w:t xml:space="preserve"> 2017 data.</w:t>
      </w:r>
      <w:r w:rsidR="001B454C">
        <w:t xml:space="preserve"> The MHDO is working with the payer to determine if future submissions are expected.</w:t>
      </w:r>
      <w:r w:rsidR="00C51CA4">
        <w:t xml:space="preserve"> </w:t>
      </w:r>
      <w:r w:rsidR="00C51CA4" w:rsidRPr="00C51CA4">
        <w:t xml:space="preserve">This payer has approximately </w:t>
      </w:r>
      <w:r w:rsidR="00C51CA4">
        <w:t>1,300</w:t>
      </w:r>
      <w:r w:rsidR="00C51CA4" w:rsidRPr="00C51CA4">
        <w:t xml:space="preserve"> medical</w:t>
      </w:r>
      <w:r w:rsidR="00064840">
        <w:t xml:space="preserve"> members per month</w:t>
      </w:r>
      <w:r w:rsidR="004A6CD3">
        <w:t>,</w:t>
      </w:r>
      <w:r w:rsidR="00064840">
        <w:t xml:space="preserve"> which represents less than 1% of commercial medical volume.</w:t>
      </w:r>
    </w:p>
    <w:p w14:paraId="7C76BF35" w14:textId="782BABC6" w:rsidR="00BF06B5" w:rsidRDefault="00BF06B5" w:rsidP="001333C5">
      <w:pPr>
        <w:spacing w:after="0"/>
      </w:pPr>
    </w:p>
    <w:p w14:paraId="259C7DAE" w14:textId="77777777" w:rsidR="004F6962" w:rsidRPr="007A4440" w:rsidRDefault="004F6962" w:rsidP="004F6962">
      <w:pPr>
        <w:spacing w:after="0"/>
        <w:rPr>
          <w:b/>
        </w:rPr>
      </w:pPr>
      <w:r w:rsidRPr="007A4440">
        <w:rPr>
          <w:b/>
        </w:rPr>
        <w:t>Mandated Submitters:</w:t>
      </w:r>
    </w:p>
    <w:p w14:paraId="41304E3E" w14:textId="2E437657" w:rsidR="00842F69" w:rsidRDefault="004F6962" w:rsidP="001333C5">
      <w:pPr>
        <w:spacing w:after="0"/>
      </w:pPr>
      <w:r>
        <w:t xml:space="preserve">Maine Community Health Options (C0726) is missing July 2017 data. </w:t>
      </w:r>
      <w:r w:rsidR="00DD66CA">
        <w:t xml:space="preserve">We are working with the submitter to get these data submitted. </w:t>
      </w:r>
      <w:r w:rsidR="00DD66CA" w:rsidRPr="00C51CA4">
        <w:t xml:space="preserve">This payer has approximately </w:t>
      </w:r>
      <w:r w:rsidR="00DD66CA">
        <w:t>39,000</w:t>
      </w:r>
      <w:r w:rsidR="00DD66CA" w:rsidRPr="00C51CA4">
        <w:t xml:space="preserve"> medical</w:t>
      </w:r>
      <w:r w:rsidR="00DD66CA">
        <w:t xml:space="preserve"> members per month which represents </w:t>
      </w:r>
      <w:r w:rsidR="006A36AA">
        <w:t>approximately</w:t>
      </w:r>
      <w:r w:rsidR="00DD66CA">
        <w:t xml:space="preserve"> </w:t>
      </w:r>
      <w:r w:rsidR="006A36AA">
        <w:t>5</w:t>
      </w:r>
      <w:r w:rsidR="00DD66CA">
        <w:t>% of commercial medical volume.</w:t>
      </w:r>
    </w:p>
    <w:p w14:paraId="6850FCBC" w14:textId="2010B957" w:rsidR="001333C5" w:rsidRDefault="37B4AAB3" w:rsidP="007A4440">
      <w:pPr>
        <w:pStyle w:val="Heading2"/>
      </w:pPr>
      <w:r w:rsidRPr="37B4AAB3">
        <w:rPr>
          <w:bCs/>
        </w:rPr>
        <w:t>Dental</w:t>
      </w:r>
      <w:r w:rsidR="00B60655">
        <w:rPr>
          <w:bCs/>
        </w:rPr>
        <w:t xml:space="preserve"> </w:t>
      </w:r>
      <w:r w:rsidR="00B60655">
        <w:t>Claims File</w:t>
      </w:r>
      <w:r w:rsidR="00D847D2">
        <w:t xml:space="preserve"> </w:t>
      </w:r>
    </w:p>
    <w:p w14:paraId="74CC5A6E" w14:textId="1C171E6E" w:rsidR="00842F69" w:rsidRPr="00EB0367" w:rsidRDefault="00636D6B" w:rsidP="00E469F6">
      <w:pPr>
        <w:spacing w:after="0"/>
      </w:pPr>
      <w:r w:rsidRPr="00636D6B">
        <w:t>No</w:t>
      </w:r>
      <w:r w:rsidR="004A6CD3">
        <w:t xml:space="preserve"> missing data</w:t>
      </w:r>
      <w:r w:rsidRPr="00636D6B">
        <w:t>.</w:t>
      </w:r>
    </w:p>
    <w:p w14:paraId="6F18AAA3" w14:textId="0A6FE469" w:rsidR="00E469F6" w:rsidRDefault="001333C5" w:rsidP="007A4440">
      <w:pPr>
        <w:pStyle w:val="Heading2"/>
      </w:pPr>
      <w:r w:rsidRPr="008C1E29">
        <w:t>Pharmacy</w:t>
      </w:r>
      <w:r w:rsidR="00B60655">
        <w:t xml:space="preserve"> Claims File</w:t>
      </w:r>
    </w:p>
    <w:p w14:paraId="3E9CC08B" w14:textId="764863BC" w:rsidR="00B614CC" w:rsidRPr="007A4440" w:rsidRDefault="00B614CC" w:rsidP="00B614CC">
      <w:pPr>
        <w:spacing w:after="0"/>
        <w:rPr>
          <w:b/>
        </w:rPr>
      </w:pPr>
      <w:r w:rsidRPr="007A4440">
        <w:rPr>
          <w:b/>
        </w:rPr>
        <w:t>Voluntary Submitter</w:t>
      </w:r>
      <w:r w:rsidR="00AE15FF">
        <w:rPr>
          <w:b/>
        </w:rPr>
        <w:t>s</w:t>
      </w:r>
      <w:r w:rsidRPr="007A4440">
        <w:rPr>
          <w:b/>
        </w:rPr>
        <w:t>:</w:t>
      </w:r>
    </w:p>
    <w:p w14:paraId="1E935709" w14:textId="25A6414E" w:rsidR="00B614CC" w:rsidRDefault="00B614CC" w:rsidP="00B614CC">
      <w:pPr>
        <w:spacing w:after="0"/>
      </w:pPr>
      <w:r>
        <w:t>Geisinger Indemnity Insurance Company (T0552) did not submit Q4 2016, Q1, Q2</w:t>
      </w:r>
      <w:r w:rsidR="00B22967">
        <w:t xml:space="preserve"> or Q3</w:t>
      </w:r>
      <w:r>
        <w:t xml:space="preserve"> 2017 Pharmacy Claims data. We are working with them to determine if they will continue to submit data to the MHDO on a voluntary basis.</w:t>
      </w:r>
      <w:r w:rsidR="00976368">
        <w:t xml:space="preserve"> </w:t>
      </w:r>
      <w:r w:rsidR="00976368" w:rsidRPr="00C51CA4">
        <w:t xml:space="preserve">This payer has approximately </w:t>
      </w:r>
      <w:r w:rsidR="00CE438B">
        <w:t>15,000</w:t>
      </w:r>
      <w:r w:rsidR="00976368">
        <w:t xml:space="preserve"> pharmacy members per month</w:t>
      </w:r>
      <w:r w:rsidR="004A6CD3">
        <w:t>,</w:t>
      </w:r>
      <w:r w:rsidR="00976368">
        <w:t xml:space="preserve"> which represents less than 2% of commercial </w:t>
      </w:r>
      <w:r w:rsidR="00CE438B">
        <w:t>pharmacy</w:t>
      </w:r>
      <w:r w:rsidR="00976368">
        <w:t xml:space="preserve"> volume.</w:t>
      </w:r>
    </w:p>
    <w:p w14:paraId="5224F3C3" w14:textId="77777777" w:rsidR="001B454C" w:rsidRDefault="001B454C" w:rsidP="00B614CC">
      <w:pPr>
        <w:spacing w:after="0"/>
      </w:pPr>
    </w:p>
    <w:p w14:paraId="2DED8AA3" w14:textId="0FE4E8E5" w:rsidR="001B454C" w:rsidRDefault="001B454C" w:rsidP="001B454C">
      <w:pPr>
        <w:spacing w:after="0"/>
      </w:pPr>
      <w:r>
        <w:t xml:space="preserve">North America Administrators LP (T0508) is missing April – </w:t>
      </w:r>
      <w:r w:rsidR="00636D6B">
        <w:t>September</w:t>
      </w:r>
      <w:r>
        <w:t xml:space="preserve"> 2017 data.</w:t>
      </w:r>
      <w:r w:rsidR="00CE438B" w:rsidRPr="00CE438B">
        <w:t xml:space="preserve"> </w:t>
      </w:r>
      <w:r w:rsidR="00CE438B" w:rsidRPr="00C51CA4">
        <w:t xml:space="preserve">This payer has approximately </w:t>
      </w:r>
      <w:r w:rsidR="00CE438B">
        <w:t>1,300</w:t>
      </w:r>
      <w:r w:rsidR="00CE438B" w:rsidRPr="00C51CA4">
        <w:t xml:space="preserve"> </w:t>
      </w:r>
      <w:r w:rsidR="00CE438B">
        <w:t>pharmacy members per month</w:t>
      </w:r>
      <w:r w:rsidR="004A6CD3">
        <w:t>,</w:t>
      </w:r>
      <w:r w:rsidR="00CE438B">
        <w:t xml:space="preserve"> which represents less than 1% of commercial pharmacy volume.</w:t>
      </w:r>
    </w:p>
    <w:p w14:paraId="42C40394" w14:textId="46F2C817" w:rsidR="00503FF5" w:rsidRDefault="00503FF5" w:rsidP="00DB7B97">
      <w:pPr>
        <w:spacing w:after="0"/>
      </w:pPr>
    </w:p>
    <w:p w14:paraId="22C33E85" w14:textId="72BA545F" w:rsidR="00910133" w:rsidRPr="007A4440" w:rsidRDefault="00484C10" w:rsidP="00E469F6">
      <w:pPr>
        <w:spacing w:after="0"/>
        <w:rPr>
          <w:b/>
        </w:rPr>
      </w:pPr>
      <w:r w:rsidRPr="007A4440">
        <w:rPr>
          <w:b/>
        </w:rPr>
        <w:t>Mandated Submitter</w:t>
      </w:r>
      <w:r w:rsidR="000164F4" w:rsidRPr="007A4440">
        <w:rPr>
          <w:b/>
        </w:rPr>
        <w:t>s</w:t>
      </w:r>
      <w:r w:rsidRPr="007A4440">
        <w:rPr>
          <w:b/>
        </w:rPr>
        <w:t>:</w:t>
      </w:r>
    </w:p>
    <w:p w14:paraId="2A02426F" w14:textId="304EC90C" w:rsidR="00910133" w:rsidRPr="00F0440C" w:rsidRDefault="002B74D6" w:rsidP="00E469F6">
      <w:pPr>
        <w:spacing w:after="0"/>
      </w:pPr>
      <w:r w:rsidRPr="002B74D6">
        <w:t xml:space="preserve">Cigna </w:t>
      </w:r>
      <w:r w:rsidR="00E5118E">
        <w:t>HealthSpring</w:t>
      </w:r>
      <w:r w:rsidRPr="002B74D6">
        <w:t xml:space="preserve"> </w:t>
      </w:r>
      <w:r>
        <w:t>(C0025F) is missing</w:t>
      </w:r>
      <w:r w:rsidR="001B454C">
        <w:t xml:space="preserve"> </w:t>
      </w:r>
      <w:r w:rsidR="00B22967">
        <w:t>February</w:t>
      </w:r>
      <w:r>
        <w:t xml:space="preserve"> – </w:t>
      </w:r>
      <w:r w:rsidR="00B22967">
        <w:t>September</w:t>
      </w:r>
      <w:r>
        <w:t xml:space="preserve"> 2017 </w:t>
      </w:r>
      <w:r w:rsidR="00AE15FF">
        <w:t xml:space="preserve">Part D Medicare </w:t>
      </w:r>
      <w:r w:rsidR="00D35680">
        <w:t>data</w:t>
      </w:r>
      <w:r w:rsidR="002F6AAE">
        <w:t>.</w:t>
      </w:r>
      <w:r w:rsidR="003E0D29">
        <w:t xml:space="preserve"> </w:t>
      </w:r>
      <w:r w:rsidR="00D773F8">
        <w:t>All missing data are expected to be part of the Q</w:t>
      </w:r>
      <w:r w:rsidR="00B22967">
        <w:t>4</w:t>
      </w:r>
      <w:r w:rsidR="00D773F8">
        <w:t xml:space="preserve"> 2017 release.</w:t>
      </w:r>
      <w:r w:rsidR="00CE438B">
        <w:t xml:space="preserve"> </w:t>
      </w:r>
      <w:r w:rsidR="00CE438B" w:rsidRPr="00C51CA4">
        <w:t xml:space="preserve">This payer has approximately </w:t>
      </w:r>
      <w:r w:rsidR="00CE438B">
        <w:t>1,800</w:t>
      </w:r>
      <w:r w:rsidR="00CE438B" w:rsidRPr="00C51CA4">
        <w:t xml:space="preserve"> </w:t>
      </w:r>
      <w:r w:rsidR="00CE438B">
        <w:t>pharmacy members per month</w:t>
      </w:r>
      <w:r w:rsidR="00471117">
        <w:t>,</w:t>
      </w:r>
      <w:r w:rsidR="00CE438B">
        <w:t xml:space="preserve"> which represents less than 1% of commercial pharmacy volume.</w:t>
      </w:r>
    </w:p>
    <w:p w14:paraId="518C071A" w14:textId="6FFE250B" w:rsidR="009577E5" w:rsidRDefault="009577E5" w:rsidP="009577E5">
      <w:pPr>
        <w:pStyle w:val="Heading1"/>
      </w:pPr>
      <w:bookmarkStart w:id="15" w:name="_Toc494379461"/>
      <w:r>
        <w:t>Other</w:t>
      </w:r>
      <w:r w:rsidRPr="001B6E7D">
        <w:t xml:space="preserve"> Release Report</w:t>
      </w:r>
      <w:r>
        <w:t>s</w:t>
      </w:r>
      <w:bookmarkEnd w:id="15"/>
      <w:r w:rsidRPr="001B6E7D">
        <w:t xml:space="preserve"> </w:t>
      </w:r>
    </w:p>
    <w:p w14:paraId="03F9565A" w14:textId="77777777" w:rsidR="00150D14" w:rsidRDefault="00150D14" w:rsidP="00E469F6">
      <w:pPr>
        <w:pStyle w:val="ListParagraph"/>
        <w:numPr>
          <w:ilvl w:val="0"/>
          <w:numId w:val="3"/>
        </w:numPr>
        <w:rPr>
          <w:u w:val="single"/>
        </w:rPr>
      </w:pPr>
      <w:r w:rsidRPr="00150D14">
        <w:rPr>
          <w:u w:val="single"/>
        </w:rPr>
        <w:t>Release Report</w:t>
      </w:r>
    </w:p>
    <w:p w14:paraId="61352A3E" w14:textId="0F0AEFB2" w:rsidR="00035805" w:rsidRDefault="00150D14" w:rsidP="00035805">
      <w:pPr>
        <w:pStyle w:val="ListParagraph"/>
      </w:pPr>
      <w:r>
        <w:t>This report provides a summary by payer and file type of all the data included in this release (Release Summary Pivot worksheet). It also contains worksheets by claim type (DC, PC, and MC) on the match rate to the eligibility file.</w:t>
      </w:r>
      <w:r w:rsidR="00C82EBB">
        <w:t xml:space="preserve"> This report is produced with each quarterly release.</w:t>
      </w:r>
      <w:r w:rsidR="00E469F6">
        <w:t xml:space="preserve"> </w:t>
      </w:r>
    </w:p>
    <w:p w14:paraId="319A25E1" w14:textId="77777777" w:rsidR="00035805" w:rsidRPr="00150D14" w:rsidRDefault="00035805" w:rsidP="00035805">
      <w:pPr>
        <w:pStyle w:val="ListParagraph"/>
      </w:pPr>
    </w:p>
    <w:p w14:paraId="653E27AB" w14:textId="44876612" w:rsidR="009577E5" w:rsidRPr="00C65237" w:rsidRDefault="009577E5" w:rsidP="00C65237">
      <w:pPr>
        <w:pStyle w:val="ListParagraph"/>
        <w:numPr>
          <w:ilvl w:val="0"/>
          <w:numId w:val="3"/>
        </w:numPr>
        <w:spacing w:after="0"/>
        <w:rPr>
          <w:u w:val="single"/>
        </w:rPr>
      </w:pPr>
      <w:r>
        <w:rPr>
          <w:u w:val="single"/>
        </w:rPr>
        <w:t xml:space="preserve">Payer </w:t>
      </w:r>
      <w:r w:rsidR="00197EAD">
        <w:rPr>
          <w:u w:val="single"/>
        </w:rPr>
        <w:t>Index</w:t>
      </w:r>
    </w:p>
    <w:p w14:paraId="2CA16A86" w14:textId="2897B6E3" w:rsidR="00C82EBB" w:rsidRDefault="00910133" w:rsidP="00C65237">
      <w:pPr>
        <w:ind w:left="720"/>
      </w:pPr>
      <w:r>
        <w:t xml:space="preserve">This release includes a new Payer Index. </w:t>
      </w:r>
      <w:r w:rsidR="00CB6C2F">
        <w:t>W</w:t>
      </w:r>
      <w:r>
        <w:t xml:space="preserve">ith each </w:t>
      </w:r>
      <w:r w:rsidR="00CB6C2F">
        <w:t xml:space="preserve">previous </w:t>
      </w:r>
      <w:r>
        <w:t>release</w:t>
      </w:r>
      <w:r w:rsidR="00CB6C2F">
        <w:t>,</w:t>
      </w:r>
      <w:r>
        <w:t xml:space="preserve"> we included a Payer Activation/Deactivation Report that </w:t>
      </w:r>
      <w:r w:rsidR="00CB6C2F">
        <w:t>contained select</w:t>
      </w:r>
      <w:r>
        <w:t xml:space="preserve"> information </w:t>
      </w:r>
      <w:r w:rsidR="00CB6C2F">
        <w:t xml:space="preserve">from </w:t>
      </w:r>
      <w:r>
        <w:t xml:space="preserve">our portal </w:t>
      </w:r>
      <w:r>
        <w:lastRenderedPageBreak/>
        <w:t xml:space="preserve">registration system but only included payers with recent activity. The Payer Index </w:t>
      </w:r>
      <w:r w:rsidR="00CB6C2F">
        <w:t>now contains additional</w:t>
      </w:r>
      <w:r>
        <w:t xml:space="preserve"> information for all payers. </w:t>
      </w:r>
    </w:p>
    <w:p w14:paraId="4780723E" w14:textId="77777777" w:rsidR="009577E5" w:rsidRDefault="009577E5" w:rsidP="00E469F6">
      <w:pPr>
        <w:pStyle w:val="ListParagraph"/>
        <w:numPr>
          <w:ilvl w:val="0"/>
          <w:numId w:val="3"/>
        </w:numPr>
        <w:rPr>
          <w:u w:val="single"/>
        </w:rPr>
      </w:pPr>
      <w:r w:rsidRPr="001B6E7D">
        <w:rPr>
          <w:u w:val="single"/>
        </w:rPr>
        <w:t>Validation Report</w:t>
      </w:r>
    </w:p>
    <w:p w14:paraId="414D99C9" w14:textId="53B99E85" w:rsidR="00DD7D22" w:rsidRDefault="009577E5" w:rsidP="00515B20">
      <w:pPr>
        <w:pStyle w:val="ListParagraph"/>
      </w:pPr>
      <w:r>
        <w:t xml:space="preserve">This report lists all validations that incoming data </w:t>
      </w:r>
      <w:r w:rsidR="00CB6C2F">
        <w:t>are</w:t>
      </w:r>
      <w:r>
        <w:t xml:space="preserve"> checked against, and indicates accuracy by payer (payer codes as defined in the APCD Payer table). </w:t>
      </w:r>
      <w:r w:rsidR="00E9369D">
        <w:t>This report is produced with each quarterly release</w:t>
      </w:r>
      <w:r>
        <w:t>.</w:t>
      </w:r>
    </w:p>
    <w:p w14:paraId="03F6AA5C" w14:textId="77777777" w:rsidR="00515B20" w:rsidRDefault="00515B20" w:rsidP="00515B20">
      <w:pPr>
        <w:pStyle w:val="ListParagraph"/>
      </w:pPr>
    </w:p>
    <w:p w14:paraId="02C058CA" w14:textId="77777777" w:rsidR="00F25922" w:rsidRDefault="00F25922" w:rsidP="00E469F6">
      <w:pPr>
        <w:pStyle w:val="ListParagraph"/>
        <w:numPr>
          <w:ilvl w:val="0"/>
          <w:numId w:val="3"/>
        </w:numPr>
        <w:rPr>
          <w:u w:val="single"/>
        </w:rPr>
      </w:pPr>
      <w:r w:rsidRPr="00F25922">
        <w:rPr>
          <w:u w:val="single"/>
        </w:rPr>
        <w:t>MHMC’s methodology for removing duplicate Rx Claims</w:t>
      </w:r>
    </w:p>
    <w:p w14:paraId="281AFC8D" w14:textId="32F5E781" w:rsidR="0037504C" w:rsidRDefault="00F25922" w:rsidP="00794531">
      <w:pPr>
        <w:pStyle w:val="ListParagraph"/>
      </w:pPr>
      <w:r>
        <w:t xml:space="preserve">This document details one user’s methodology for removing duplicate pharmacy claims. </w:t>
      </w:r>
    </w:p>
    <w:p w14:paraId="1EBF1AC1" w14:textId="0C3BE0C3" w:rsidR="00642876" w:rsidRDefault="00642876" w:rsidP="00794531">
      <w:pPr>
        <w:pStyle w:val="ListParagraph"/>
      </w:pPr>
    </w:p>
    <w:p w14:paraId="702A53A8" w14:textId="0BA1AE83" w:rsidR="00642876" w:rsidRPr="00642876" w:rsidRDefault="00642876" w:rsidP="00642876">
      <w:pPr>
        <w:pStyle w:val="ListParagraph"/>
        <w:numPr>
          <w:ilvl w:val="0"/>
          <w:numId w:val="3"/>
        </w:numPr>
        <w:rPr>
          <w:u w:val="single"/>
        </w:rPr>
      </w:pPr>
      <w:r w:rsidRPr="00642876">
        <w:rPr>
          <w:u w:val="single"/>
        </w:rPr>
        <w:t>Frequently Asked Questions</w:t>
      </w:r>
    </w:p>
    <w:p w14:paraId="54B084B2" w14:textId="5CC1DFF8" w:rsidR="00642876" w:rsidRDefault="00642876" w:rsidP="00794531">
      <w:pPr>
        <w:pStyle w:val="ListParagraph"/>
      </w:pPr>
      <w:r>
        <w:t xml:space="preserve">This resource on the MHDO website is available to answer questions about the APCD: </w:t>
      </w:r>
      <w:hyperlink r:id="rId15" w:history="1">
        <w:r w:rsidRPr="00035805">
          <w:rPr>
            <w:rStyle w:val="Hyperlink"/>
          </w:rPr>
          <w:t>https://mhdo.maine.gov/faqs_data.html#apcd data</w:t>
        </w:r>
      </w:hyperlink>
      <w:r w:rsidR="00035805">
        <w:t xml:space="preserve"> </w:t>
      </w:r>
      <w:r>
        <w:t xml:space="preserve"> </w:t>
      </w:r>
    </w:p>
    <w:p w14:paraId="3AD99ACD" w14:textId="77777777" w:rsidR="00CC20FD" w:rsidRDefault="00CC20FD" w:rsidP="00794531">
      <w:pPr>
        <w:pStyle w:val="ListParagraph"/>
      </w:pPr>
    </w:p>
    <w:p w14:paraId="49147148" w14:textId="522D83B3" w:rsidR="00CC20FD" w:rsidRPr="0037504C" w:rsidRDefault="00CC20FD" w:rsidP="00910133">
      <w:pPr>
        <w:pStyle w:val="ListParagraph"/>
      </w:pPr>
    </w:p>
    <w:sectPr w:rsidR="00CC20FD" w:rsidRPr="0037504C" w:rsidSect="000376CF">
      <w:headerReference w:type="default" r:id="rId16"/>
      <w:footerReference w:type="default" r:id="rId17"/>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EE963" w14:textId="77777777" w:rsidR="00CF5C80" w:rsidRDefault="00CF5C80" w:rsidP="00F9542F">
      <w:pPr>
        <w:spacing w:after="0" w:line="240" w:lineRule="auto"/>
      </w:pPr>
      <w:r>
        <w:separator/>
      </w:r>
    </w:p>
  </w:endnote>
  <w:endnote w:type="continuationSeparator" w:id="0">
    <w:p w14:paraId="24365DE5" w14:textId="77777777" w:rsidR="00CF5C80" w:rsidRDefault="00CF5C80" w:rsidP="00F9542F">
      <w:pPr>
        <w:spacing w:after="0" w:line="240" w:lineRule="auto"/>
      </w:pPr>
      <w:r>
        <w:continuationSeparator/>
      </w:r>
    </w:p>
  </w:endnote>
  <w:endnote w:type="continuationNotice" w:id="1">
    <w:p w14:paraId="6C4192BC" w14:textId="77777777" w:rsidR="00CF5C80" w:rsidRDefault="00CF5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7C853630" w14:textId="052B50D8" w:rsidR="00976368" w:rsidRDefault="00976368" w:rsidP="00AC7262">
        <w:pPr>
          <w:pStyle w:val="Footer"/>
          <w:pBdr>
            <w:top w:val="single" w:sz="4" w:space="1" w:color="auto"/>
          </w:pBdr>
        </w:pPr>
        <w:r>
          <w:t xml:space="preserve">Page | </w:t>
        </w:r>
        <w:r>
          <w:fldChar w:fldCharType="begin"/>
        </w:r>
        <w:r>
          <w:instrText xml:space="preserve"> PAGE   \* MERGEFORMAT </w:instrText>
        </w:r>
        <w:r>
          <w:fldChar w:fldCharType="separate"/>
        </w:r>
        <w:r w:rsidR="009872C5">
          <w:rPr>
            <w:noProof/>
          </w:rPr>
          <w:t>4</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76FA1" w14:textId="77777777" w:rsidR="00CF5C80" w:rsidRDefault="00CF5C80" w:rsidP="00F9542F">
      <w:pPr>
        <w:spacing w:after="0" w:line="240" w:lineRule="auto"/>
      </w:pPr>
      <w:r>
        <w:separator/>
      </w:r>
    </w:p>
  </w:footnote>
  <w:footnote w:type="continuationSeparator" w:id="0">
    <w:p w14:paraId="47437C46" w14:textId="77777777" w:rsidR="00CF5C80" w:rsidRDefault="00CF5C80" w:rsidP="00F9542F">
      <w:pPr>
        <w:spacing w:after="0" w:line="240" w:lineRule="auto"/>
      </w:pPr>
      <w:r>
        <w:continuationSeparator/>
      </w:r>
    </w:p>
  </w:footnote>
  <w:footnote w:type="continuationNotice" w:id="1">
    <w:p w14:paraId="36966220" w14:textId="77777777" w:rsidR="00CF5C80" w:rsidRDefault="00CF5C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3144" w14:textId="2FC27F6E" w:rsidR="00976368" w:rsidRPr="00600031" w:rsidRDefault="00976368"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2"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7"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1"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5"/>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num>
  <w:num w:numId="11">
    <w:abstractNumId w:val="13"/>
  </w:num>
  <w:num w:numId="12">
    <w:abstractNumId w:val="8"/>
  </w:num>
  <w:num w:numId="13">
    <w:abstractNumId w:val="0"/>
  </w:num>
  <w:num w:numId="14">
    <w:abstractNumId w:val="11"/>
  </w:num>
  <w:num w:numId="15">
    <w:abstractNumId w:val="2"/>
  </w:num>
  <w:num w:numId="16">
    <w:abstractNumId w:val="15"/>
  </w:num>
  <w:num w:numId="17">
    <w:abstractNumId w:val="6"/>
  </w:num>
  <w:num w:numId="18">
    <w:abstractNumId w:val="9"/>
  </w:num>
  <w:num w:numId="19">
    <w:abstractNumId w:val="3"/>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5F78"/>
    <w:rsid w:val="00006577"/>
    <w:rsid w:val="00007778"/>
    <w:rsid w:val="00010193"/>
    <w:rsid w:val="00011604"/>
    <w:rsid w:val="00015957"/>
    <w:rsid w:val="000164F4"/>
    <w:rsid w:val="000166EC"/>
    <w:rsid w:val="00017853"/>
    <w:rsid w:val="0002148F"/>
    <w:rsid w:val="00023093"/>
    <w:rsid w:val="000254B7"/>
    <w:rsid w:val="00031AF5"/>
    <w:rsid w:val="00035805"/>
    <w:rsid w:val="000376CF"/>
    <w:rsid w:val="00042EA1"/>
    <w:rsid w:val="000440FC"/>
    <w:rsid w:val="00045EFA"/>
    <w:rsid w:val="00056E16"/>
    <w:rsid w:val="000637AB"/>
    <w:rsid w:val="00063E4F"/>
    <w:rsid w:val="00064840"/>
    <w:rsid w:val="00065816"/>
    <w:rsid w:val="0007190F"/>
    <w:rsid w:val="000755CB"/>
    <w:rsid w:val="00076623"/>
    <w:rsid w:val="00084E0E"/>
    <w:rsid w:val="00086B22"/>
    <w:rsid w:val="00087F76"/>
    <w:rsid w:val="0009051D"/>
    <w:rsid w:val="00095CBF"/>
    <w:rsid w:val="000970D5"/>
    <w:rsid w:val="000A0578"/>
    <w:rsid w:val="000A377A"/>
    <w:rsid w:val="000A416B"/>
    <w:rsid w:val="000B2DAD"/>
    <w:rsid w:val="000B3A29"/>
    <w:rsid w:val="000B3A39"/>
    <w:rsid w:val="000B73B1"/>
    <w:rsid w:val="000C16BC"/>
    <w:rsid w:val="000C3291"/>
    <w:rsid w:val="000C4B76"/>
    <w:rsid w:val="000C66D6"/>
    <w:rsid w:val="000D0BA0"/>
    <w:rsid w:val="000D6EE5"/>
    <w:rsid w:val="000E3AAF"/>
    <w:rsid w:val="000E3F3A"/>
    <w:rsid w:val="000F26FC"/>
    <w:rsid w:val="000F2986"/>
    <w:rsid w:val="000F34B5"/>
    <w:rsid w:val="000F34E3"/>
    <w:rsid w:val="000F5E8C"/>
    <w:rsid w:val="000F737C"/>
    <w:rsid w:val="000F7BBC"/>
    <w:rsid w:val="00100269"/>
    <w:rsid w:val="00104C56"/>
    <w:rsid w:val="00106063"/>
    <w:rsid w:val="001078A9"/>
    <w:rsid w:val="00110667"/>
    <w:rsid w:val="001114A0"/>
    <w:rsid w:val="001121CC"/>
    <w:rsid w:val="001137EE"/>
    <w:rsid w:val="00114030"/>
    <w:rsid w:val="00126F6F"/>
    <w:rsid w:val="0013297C"/>
    <w:rsid w:val="001333C5"/>
    <w:rsid w:val="001338E6"/>
    <w:rsid w:val="001340BD"/>
    <w:rsid w:val="00135C22"/>
    <w:rsid w:val="00136353"/>
    <w:rsid w:val="00137EAC"/>
    <w:rsid w:val="00140052"/>
    <w:rsid w:val="00144DB8"/>
    <w:rsid w:val="00145E2C"/>
    <w:rsid w:val="00150D14"/>
    <w:rsid w:val="00151512"/>
    <w:rsid w:val="00151D9F"/>
    <w:rsid w:val="0015454F"/>
    <w:rsid w:val="001556FE"/>
    <w:rsid w:val="001575A3"/>
    <w:rsid w:val="00162C6F"/>
    <w:rsid w:val="00164FF7"/>
    <w:rsid w:val="00167DCE"/>
    <w:rsid w:val="00171F89"/>
    <w:rsid w:val="00174D5F"/>
    <w:rsid w:val="0017524C"/>
    <w:rsid w:val="001769EB"/>
    <w:rsid w:val="001808BA"/>
    <w:rsid w:val="00183AF9"/>
    <w:rsid w:val="00184758"/>
    <w:rsid w:val="001861DB"/>
    <w:rsid w:val="00193858"/>
    <w:rsid w:val="00197103"/>
    <w:rsid w:val="00197EAD"/>
    <w:rsid w:val="001A30CB"/>
    <w:rsid w:val="001A4155"/>
    <w:rsid w:val="001A5018"/>
    <w:rsid w:val="001B3588"/>
    <w:rsid w:val="001B3B25"/>
    <w:rsid w:val="001B454C"/>
    <w:rsid w:val="001B7A7C"/>
    <w:rsid w:val="001D1CDD"/>
    <w:rsid w:val="001D364D"/>
    <w:rsid w:val="001D4F77"/>
    <w:rsid w:val="001D6036"/>
    <w:rsid w:val="001E2A58"/>
    <w:rsid w:val="001E45DC"/>
    <w:rsid w:val="001F0A01"/>
    <w:rsid w:val="001F1F38"/>
    <w:rsid w:val="001F42EB"/>
    <w:rsid w:val="001F5A79"/>
    <w:rsid w:val="001F7E1A"/>
    <w:rsid w:val="00213D53"/>
    <w:rsid w:val="00221163"/>
    <w:rsid w:val="00223442"/>
    <w:rsid w:val="00225B57"/>
    <w:rsid w:val="00227D19"/>
    <w:rsid w:val="00231D3A"/>
    <w:rsid w:val="002355C6"/>
    <w:rsid w:val="00235BE9"/>
    <w:rsid w:val="00237F72"/>
    <w:rsid w:val="0024464E"/>
    <w:rsid w:val="00246A3D"/>
    <w:rsid w:val="00247201"/>
    <w:rsid w:val="002475DA"/>
    <w:rsid w:val="00247D00"/>
    <w:rsid w:val="00253E7E"/>
    <w:rsid w:val="00264023"/>
    <w:rsid w:val="00264C8A"/>
    <w:rsid w:val="00267144"/>
    <w:rsid w:val="00267ECE"/>
    <w:rsid w:val="0027108C"/>
    <w:rsid w:val="00271686"/>
    <w:rsid w:val="00280EE6"/>
    <w:rsid w:val="00283372"/>
    <w:rsid w:val="00283F09"/>
    <w:rsid w:val="002859FD"/>
    <w:rsid w:val="002921E7"/>
    <w:rsid w:val="0029539F"/>
    <w:rsid w:val="0029676B"/>
    <w:rsid w:val="002A1B4C"/>
    <w:rsid w:val="002B12E3"/>
    <w:rsid w:val="002B13C3"/>
    <w:rsid w:val="002B74D6"/>
    <w:rsid w:val="002C0E4D"/>
    <w:rsid w:val="002C186D"/>
    <w:rsid w:val="002C7944"/>
    <w:rsid w:val="002C7ED7"/>
    <w:rsid w:val="002D6457"/>
    <w:rsid w:val="002D7D87"/>
    <w:rsid w:val="002E3F6D"/>
    <w:rsid w:val="002E7ED3"/>
    <w:rsid w:val="002F0DB1"/>
    <w:rsid w:val="002F19AD"/>
    <w:rsid w:val="002F384E"/>
    <w:rsid w:val="002F6AAE"/>
    <w:rsid w:val="002F7864"/>
    <w:rsid w:val="002F7F63"/>
    <w:rsid w:val="00300B4D"/>
    <w:rsid w:val="00304172"/>
    <w:rsid w:val="00305763"/>
    <w:rsid w:val="00312119"/>
    <w:rsid w:val="003153E0"/>
    <w:rsid w:val="00315D54"/>
    <w:rsid w:val="0031740A"/>
    <w:rsid w:val="0031787D"/>
    <w:rsid w:val="00320350"/>
    <w:rsid w:val="003254FC"/>
    <w:rsid w:val="0032744C"/>
    <w:rsid w:val="003278FE"/>
    <w:rsid w:val="0033192D"/>
    <w:rsid w:val="0033725F"/>
    <w:rsid w:val="00340BB0"/>
    <w:rsid w:val="00347B05"/>
    <w:rsid w:val="0035003B"/>
    <w:rsid w:val="003548C4"/>
    <w:rsid w:val="00355239"/>
    <w:rsid w:val="0035746A"/>
    <w:rsid w:val="00363D35"/>
    <w:rsid w:val="003718CE"/>
    <w:rsid w:val="00373460"/>
    <w:rsid w:val="00373572"/>
    <w:rsid w:val="0037504C"/>
    <w:rsid w:val="003764D5"/>
    <w:rsid w:val="00376E5F"/>
    <w:rsid w:val="00377623"/>
    <w:rsid w:val="0038241A"/>
    <w:rsid w:val="0038291C"/>
    <w:rsid w:val="00382E59"/>
    <w:rsid w:val="003850E7"/>
    <w:rsid w:val="00387698"/>
    <w:rsid w:val="00387745"/>
    <w:rsid w:val="003907E7"/>
    <w:rsid w:val="003908AF"/>
    <w:rsid w:val="00390B00"/>
    <w:rsid w:val="00393959"/>
    <w:rsid w:val="0039760A"/>
    <w:rsid w:val="003A1C94"/>
    <w:rsid w:val="003A3BA7"/>
    <w:rsid w:val="003A7F0A"/>
    <w:rsid w:val="003B09E4"/>
    <w:rsid w:val="003B18F4"/>
    <w:rsid w:val="003B2AE4"/>
    <w:rsid w:val="003B3BE3"/>
    <w:rsid w:val="003B5897"/>
    <w:rsid w:val="003B6F37"/>
    <w:rsid w:val="003C3F11"/>
    <w:rsid w:val="003C4FE2"/>
    <w:rsid w:val="003C57BC"/>
    <w:rsid w:val="003C710D"/>
    <w:rsid w:val="003D1DB9"/>
    <w:rsid w:val="003D4988"/>
    <w:rsid w:val="003D68C7"/>
    <w:rsid w:val="003D6E3B"/>
    <w:rsid w:val="003D701D"/>
    <w:rsid w:val="003E0D29"/>
    <w:rsid w:val="003E2B0E"/>
    <w:rsid w:val="003E5215"/>
    <w:rsid w:val="003E6004"/>
    <w:rsid w:val="003F2D07"/>
    <w:rsid w:val="003F58BA"/>
    <w:rsid w:val="003F6D6D"/>
    <w:rsid w:val="00402112"/>
    <w:rsid w:val="00402F96"/>
    <w:rsid w:val="0040398C"/>
    <w:rsid w:val="00405AD1"/>
    <w:rsid w:val="00405DEF"/>
    <w:rsid w:val="00414B21"/>
    <w:rsid w:val="00420884"/>
    <w:rsid w:val="00420A05"/>
    <w:rsid w:val="00421BED"/>
    <w:rsid w:val="00421CE1"/>
    <w:rsid w:val="0042425F"/>
    <w:rsid w:val="00427F66"/>
    <w:rsid w:val="0043410C"/>
    <w:rsid w:val="00446F74"/>
    <w:rsid w:val="00450D2F"/>
    <w:rsid w:val="004550E7"/>
    <w:rsid w:val="004575CB"/>
    <w:rsid w:val="0046319D"/>
    <w:rsid w:val="00463FFF"/>
    <w:rsid w:val="0046574E"/>
    <w:rsid w:val="004701A9"/>
    <w:rsid w:val="00471117"/>
    <w:rsid w:val="00471151"/>
    <w:rsid w:val="00471431"/>
    <w:rsid w:val="00473EB7"/>
    <w:rsid w:val="004749C7"/>
    <w:rsid w:val="00477502"/>
    <w:rsid w:val="004815A3"/>
    <w:rsid w:val="004838E8"/>
    <w:rsid w:val="00483DAD"/>
    <w:rsid w:val="00484C10"/>
    <w:rsid w:val="004861D0"/>
    <w:rsid w:val="00497D85"/>
    <w:rsid w:val="004A5768"/>
    <w:rsid w:val="004A6CD3"/>
    <w:rsid w:val="004B179C"/>
    <w:rsid w:val="004C27E6"/>
    <w:rsid w:val="004C30B5"/>
    <w:rsid w:val="004D2AF1"/>
    <w:rsid w:val="004D771A"/>
    <w:rsid w:val="004E0304"/>
    <w:rsid w:val="004E20F8"/>
    <w:rsid w:val="004E5585"/>
    <w:rsid w:val="004F095D"/>
    <w:rsid w:val="004F1C2D"/>
    <w:rsid w:val="004F2487"/>
    <w:rsid w:val="004F6962"/>
    <w:rsid w:val="00500F49"/>
    <w:rsid w:val="00502C1E"/>
    <w:rsid w:val="00503FF5"/>
    <w:rsid w:val="005042FF"/>
    <w:rsid w:val="00515252"/>
    <w:rsid w:val="00515B20"/>
    <w:rsid w:val="00516133"/>
    <w:rsid w:val="00521611"/>
    <w:rsid w:val="00522EBD"/>
    <w:rsid w:val="005301D3"/>
    <w:rsid w:val="00531BC8"/>
    <w:rsid w:val="00535B6F"/>
    <w:rsid w:val="00542CFC"/>
    <w:rsid w:val="00551AA0"/>
    <w:rsid w:val="005557F1"/>
    <w:rsid w:val="00564699"/>
    <w:rsid w:val="00564DA2"/>
    <w:rsid w:val="005662D5"/>
    <w:rsid w:val="00566B93"/>
    <w:rsid w:val="0057153E"/>
    <w:rsid w:val="00581967"/>
    <w:rsid w:val="0058537B"/>
    <w:rsid w:val="00585AE7"/>
    <w:rsid w:val="00585D1B"/>
    <w:rsid w:val="005860EE"/>
    <w:rsid w:val="005A0C4D"/>
    <w:rsid w:val="005A710F"/>
    <w:rsid w:val="005B120A"/>
    <w:rsid w:val="005B3CE8"/>
    <w:rsid w:val="005B572A"/>
    <w:rsid w:val="005C3A03"/>
    <w:rsid w:val="005C6EF4"/>
    <w:rsid w:val="005C7657"/>
    <w:rsid w:val="005D47D5"/>
    <w:rsid w:val="005D4CF2"/>
    <w:rsid w:val="005D5A88"/>
    <w:rsid w:val="005D699D"/>
    <w:rsid w:val="005D776E"/>
    <w:rsid w:val="005E2E1D"/>
    <w:rsid w:val="005E3893"/>
    <w:rsid w:val="005E3FD5"/>
    <w:rsid w:val="005F09BC"/>
    <w:rsid w:val="005F2082"/>
    <w:rsid w:val="00600031"/>
    <w:rsid w:val="00604B9F"/>
    <w:rsid w:val="00613191"/>
    <w:rsid w:val="00613408"/>
    <w:rsid w:val="00614DEF"/>
    <w:rsid w:val="00616B82"/>
    <w:rsid w:val="0063077C"/>
    <w:rsid w:val="006344A8"/>
    <w:rsid w:val="006366AA"/>
    <w:rsid w:val="00636D6B"/>
    <w:rsid w:val="006400EB"/>
    <w:rsid w:val="0064060C"/>
    <w:rsid w:val="00642876"/>
    <w:rsid w:val="00647015"/>
    <w:rsid w:val="00650DDE"/>
    <w:rsid w:val="00656E96"/>
    <w:rsid w:val="00656FCF"/>
    <w:rsid w:val="0065713F"/>
    <w:rsid w:val="00667FD3"/>
    <w:rsid w:val="0067303D"/>
    <w:rsid w:val="00676AB4"/>
    <w:rsid w:val="00677FBB"/>
    <w:rsid w:val="00681997"/>
    <w:rsid w:val="00685004"/>
    <w:rsid w:val="006900B1"/>
    <w:rsid w:val="006A2A28"/>
    <w:rsid w:val="006A36AA"/>
    <w:rsid w:val="006A4FA5"/>
    <w:rsid w:val="006A5FAA"/>
    <w:rsid w:val="006A6799"/>
    <w:rsid w:val="006B3265"/>
    <w:rsid w:val="006B37C2"/>
    <w:rsid w:val="006C06C1"/>
    <w:rsid w:val="006D030F"/>
    <w:rsid w:val="006D245A"/>
    <w:rsid w:val="006D7FB5"/>
    <w:rsid w:val="006E3341"/>
    <w:rsid w:val="006E56AF"/>
    <w:rsid w:val="006F06DB"/>
    <w:rsid w:val="006F41DB"/>
    <w:rsid w:val="006F46F3"/>
    <w:rsid w:val="006FA67F"/>
    <w:rsid w:val="00706210"/>
    <w:rsid w:val="00712E0A"/>
    <w:rsid w:val="00717B72"/>
    <w:rsid w:val="007235F7"/>
    <w:rsid w:val="007248B3"/>
    <w:rsid w:val="007270BE"/>
    <w:rsid w:val="00727D39"/>
    <w:rsid w:val="00736C63"/>
    <w:rsid w:val="00741C0A"/>
    <w:rsid w:val="00745418"/>
    <w:rsid w:val="00750746"/>
    <w:rsid w:val="00751789"/>
    <w:rsid w:val="007544EC"/>
    <w:rsid w:val="0075492F"/>
    <w:rsid w:val="00755AFB"/>
    <w:rsid w:val="00757B7A"/>
    <w:rsid w:val="00760CC1"/>
    <w:rsid w:val="0076617E"/>
    <w:rsid w:val="00767640"/>
    <w:rsid w:val="00777A73"/>
    <w:rsid w:val="007815C5"/>
    <w:rsid w:val="00785A60"/>
    <w:rsid w:val="00786078"/>
    <w:rsid w:val="00791EA4"/>
    <w:rsid w:val="00794531"/>
    <w:rsid w:val="00797D78"/>
    <w:rsid w:val="00797FDC"/>
    <w:rsid w:val="007A000A"/>
    <w:rsid w:val="007A2B89"/>
    <w:rsid w:val="007A4440"/>
    <w:rsid w:val="007A5106"/>
    <w:rsid w:val="007A59C8"/>
    <w:rsid w:val="007A6E0C"/>
    <w:rsid w:val="007A70E6"/>
    <w:rsid w:val="007B0B32"/>
    <w:rsid w:val="007B0D19"/>
    <w:rsid w:val="007B119D"/>
    <w:rsid w:val="007B31D2"/>
    <w:rsid w:val="007B718C"/>
    <w:rsid w:val="007C3657"/>
    <w:rsid w:val="007C5CE6"/>
    <w:rsid w:val="007D2327"/>
    <w:rsid w:val="007D48EB"/>
    <w:rsid w:val="007D555E"/>
    <w:rsid w:val="007D6686"/>
    <w:rsid w:val="007F003F"/>
    <w:rsid w:val="007F2FE3"/>
    <w:rsid w:val="007F5A4A"/>
    <w:rsid w:val="007F5E28"/>
    <w:rsid w:val="007F7B4D"/>
    <w:rsid w:val="00800AED"/>
    <w:rsid w:val="00801AB5"/>
    <w:rsid w:val="00804CE0"/>
    <w:rsid w:val="00806290"/>
    <w:rsid w:val="00806E04"/>
    <w:rsid w:val="00810055"/>
    <w:rsid w:val="00812C57"/>
    <w:rsid w:val="00822524"/>
    <w:rsid w:val="00825C4A"/>
    <w:rsid w:val="008307A3"/>
    <w:rsid w:val="00830950"/>
    <w:rsid w:val="00831524"/>
    <w:rsid w:val="008370CE"/>
    <w:rsid w:val="008409FA"/>
    <w:rsid w:val="00840A84"/>
    <w:rsid w:val="00841800"/>
    <w:rsid w:val="00842F69"/>
    <w:rsid w:val="00846DCA"/>
    <w:rsid w:val="00853180"/>
    <w:rsid w:val="00853466"/>
    <w:rsid w:val="00860895"/>
    <w:rsid w:val="0086253F"/>
    <w:rsid w:val="00863AAC"/>
    <w:rsid w:val="00863BF6"/>
    <w:rsid w:val="00870A92"/>
    <w:rsid w:val="00872558"/>
    <w:rsid w:val="00875051"/>
    <w:rsid w:val="0088227D"/>
    <w:rsid w:val="0088617F"/>
    <w:rsid w:val="0088688B"/>
    <w:rsid w:val="00890A33"/>
    <w:rsid w:val="00890DF6"/>
    <w:rsid w:val="0089190A"/>
    <w:rsid w:val="00897786"/>
    <w:rsid w:val="00897BC5"/>
    <w:rsid w:val="008A1D9A"/>
    <w:rsid w:val="008A32B1"/>
    <w:rsid w:val="008A42B1"/>
    <w:rsid w:val="008A690E"/>
    <w:rsid w:val="008B221D"/>
    <w:rsid w:val="008B2FDE"/>
    <w:rsid w:val="008B31AC"/>
    <w:rsid w:val="008B5786"/>
    <w:rsid w:val="008B6B72"/>
    <w:rsid w:val="008C064F"/>
    <w:rsid w:val="008C1069"/>
    <w:rsid w:val="008C131F"/>
    <w:rsid w:val="008C1E29"/>
    <w:rsid w:val="008C3E5E"/>
    <w:rsid w:val="008C41F0"/>
    <w:rsid w:val="008C6247"/>
    <w:rsid w:val="008D45A1"/>
    <w:rsid w:val="008D6111"/>
    <w:rsid w:val="008D75BA"/>
    <w:rsid w:val="008E3A42"/>
    <w:rsid w:val="008E44CB"/>
    <w:rsid w:val="008F1BFA"/>
    <w:rsid w:val="00901524"/>
    <w:rsid w:val="00903009"/>
    <w:rsid w:val="009055E7"/>
    <w:rsid w:val="00910133"/>
    <w:rsid w:val="00912FAA"/>
    <w:rsid w:val="0091449E"/>
    <w:rsid w:val="009148FD"/>
    <w:rsid w:val="00914D24"/>
    <w:rsid w:val="009171A8"/>
    <w:rsid w:val="00920E25"/>
    <w:rsid w:val="0092374F"/>
    <w:rsid w:val="009303BB"/>
    <w:rsid w:val="00930B28"/>
    <w:rsid w:val="00932E7A"/>
    <w:rsid w:val="00933C40"/>
    <w:rsid w:val="00935294"/>
    <w:rsid w:val="00935379"/>
    <w:rsid w:val="009354C2"/>
    <w:rsid w:val="00937A70"/>
    <w:rsid w:val="00943894"/>
    <w:rsid w:val="00943C32"/>
    <w:rsid w:val="009442D3"/>
    <w:rsid w:val="0094505D"/>
    <w:rsid w:val="00945EC3"/>
    <w:rsid w:val="00947EE5"/>
    <w:rsid w:val="00947F7E"/>
    <w:rsid w:val="00951429"/>
    <w:rsid w:val="0095358A"/>
    <w:rsid w:val="009577E5"/>
    <w:rsid w:val="00960C4F"/>
    <w:rsid w:val="00961009"/>
    <w:rsid w:val="00961063"/>
    <w:rsid w:val="0096416F"/>
    <w:rsid w:val="00965AB2"/>
    <w:rsid w:val="00971C26"/>
    <w:rsid w:val="00976368"/>
    <w:rsid w:val="00983CAA"/>
    <w:rsid w:val="009872C5"/>
    <w:rsid w:val="0099335A"/>
    <w:rsid w:val="009938DD"/>
    <w:rsid w:val="00997DE1"/>
    <w:rsid w:val="009A62E5"/>
    <w:rsid w:val="009B38B4"/>
    <w:rsid w:val="009B5749"/>
    <w:rsid w:val="009C12A7"/>
    <w:rsid w:val="009C51A9"/>
    <w:rsid w:val="009C5773"/>
    <w:rsid w:val="009D3116"/>
    <w:rsid w:val="009D45F7"/>
    <w:rsid w:val="009D6A3A"/>
    <w:rsid w:val="009E610C"/>
    <w:rsid w:val="009E736B"/>
    <w:rsid w:val="009E7887"/>
    <w:rsid w:val="009E7D90"/>
    <w:rsid w:val="009F1D98"/>
    <w:rsid w:val="009F201C"/>
    <w:rsid w:val="009F209F"/>
    <w:rsid w:val="009F396B"/>
    <w:rsid w:val="009F5108"/>
    <w:rsid w:val="009F7634"/>
    <w:rsid w:val="00A02DFE"/>
    <w:rsid w:val="00A03737"/>
    <w:rsid w:val="00A056FD"/>
    <w:rsid w:val="00A05795"/>
    <w:rsid w:val="00A077A1"/>
    <w:rsid w:val="00A16856"/>
    <w:rsid w:val="00A16D95"/>
    <w:rsid w:val="00A24EDC"/>
    <w:rsid w:val="00A26CD5"/>
    <w:rsid w:val="00A3261D"/>
    <w:rsid w:val="00A3353B"/>
    <w:rsid w:val="00A3453C"/>
    <w:rsid w:val="00A34D43"/>
    <w:rsid w:val="00A36CA1"/>
    <w:rsid w:val="00A37375"/>
    <w:rsid w:val="00A409AA"/>
    <w:rsid w:val="00A438B6"/>
    <w:rsid w:val="00A50AC8"/>
    <w:rsid w:val="00A51307"/>
    <w:rsid w:val="00A51367"/>
    <w:rsid w:val="00A56B9A"/>
    <w:rsid w:val="00A56D8B"/>
    <w:rsid w:val="00A61E7C"/>
    <w:rsid w:val="00A624E6"/>
    <w:rsid w:val="00A63267"/>
    <w:rsid w:val="00A66EF9"/>
    <w:rsid w:val="00A72716"/>
    <w:rsid w:val="00A74274"/>
    <w:rsid w:val="00A7441D"/>
    <w:rsid w:val="00A75F39"/>
    <w:rsid w:val="00A81163"/>
    <w:rsid w:val="00A828CB"/>
    <w:rsid w:val="00A90E00"/>
    <w:rsid w:val="00A94307"/>
    <w:rsid w:val="00A94C36"/>
    <w:rsid w:val="00AA1458"/>
    <w:rsid w:val="00AA2CEF"/>
    <w:rsid w:val="00AA68DC"/>
    <w:rsid w:val="00AB2D72"/>
    <w:rsid w:val="00AB37A1"/>
    <w:rsid w:val="00AB4FB0"/>
    <w:rsid w:val="00AB58D5"/>
    <w:rsid w:val="00AB5D21"/>
    <w:rsid w:val="00AC1962"/>
    <w:rsid w:val="00AC51A4"/>
    <w:rsid w:val="00AC6B7D"/>
    <w:rsid w:val="00AC7262"/>
    <w:rsid w:val="00AD2D89"/>
    <w:rsid w:val="00AD4C41"/>
    <w:rsid w:val="00AE04D7"/>
    <w:rsid w:val="00AE0935"/>
    <w:rsid w:val="00AE1481"/>
    <w:rsid w:val="00AE15FF"/>
    <w:rsid w:val="00AE1FF5"/>
    <w:rsid w:val="00AE5738"/>
    <w:rsid w:val="00AF28B5"/>
    <w:rsid w:val="00AF7646"/>
    <w:rsid w:val="00B000C5"/>
    <w:rsid w:val="00B11B5B"/>
    <w:rsid w:val="00B12E16"/>
    <w:rsid w:val="00B22967"/>
    <w:rsid w:val="00B31441"/>
    <w:rsid w:val="00B31629"/>
    <w:rsid w:val="00B320A9"/>
    <w:rsid w:val="00B338DA"/>
    <w:rsid w:val="00B347FA"/>
    <w:rsid w:val="00B3510B"/>
    <w:rsid w:val="00B37194"/>
    <w:rsid w:val="00B4470A"/>
    <w:rsid w:val="00B47681"/>
    <w:rsid w:val="00B53832"/>
    <w:rsid w:val="00B53972"/>
    <w:rsid w:val="00B55AAB"/>
    <w:rsid w:val="00B56A73"/>
    <w:rsid w:val="00B57347"/>
    <w:rsid w:val="00B60302"/>
    <w:rsid w:val="00B60655"/>
    <w:rsid w:val="00B614CC"/>
    <w:rsid w:val="00B61D93"/>
    <w:rsid w:val="00B66EE0"/>
    <w:rsid w:val="00B674F9"/>
    <w:rsid w:val="00B72391"/>
    <w:rsid w:val="00B754C2"/>
    <w:rsid w:val="00B75A9B"/>
    <w:rsid w:val="00B77E7E"/>
    <w:rsid w:val="00B82A64"/>
    <w:rsid w:val="00B90753"/>
    <w:rsid w:val="00B91EA0"/>
    <w:rsid w:val="00B924FF"/>
    <w:rsid w:val="00B940EA"/>
    <w:rsid w:val="00B97DF1"/>
    <w:rsid w:val="00BA2C39"/>
    <w:rsid w:val="00BA51EB"/>
    <w:rsid w:val="00BA5850"/>
    <w:rsid w:val="00BB05CA"/>
    <w:rsid w:val="00BB281D"/>
    <w:rsid w:val="00BB341E"/>
    <w:rsid w:val="00BB4DBA"/>
    <w:rsid w:val="00BB56C8"/>
    <w:rsid w:val="00BC4046"/>
    <w:rsid w:val="00BC6666"/>
    <w:rsid w:val="00BD1DD6"/>
    <w:rsid w:val="00BD2522"/>
    <w:rsid w:val="00BD4621"/>
    <w:rsid w:val="00BE31EE"/>
    <w:rsid w:val="00BE4028"/>
    <w:rsid w:val="00BE50CE"/>
    <w:rsid w:val="00BE5D34"/>
    <w:rsid w:val="00BF06B5"/>
    <w:rsid w:val="00BF1A7B"/>
    <w:rsid w:val="00BF1F90"/>
    <w:rsid w:val="00C0178B"/>
    <w:rsid w:val="00C049AA"/>
    <w:rsid w:val="00C13AC1"/>
    <w:rsid w:val="00C2043F"/>
    <w:rsid w:val="00C21513"/>
    <w:rsid w:val="00C25F46"/>
    <w:rsid w:val="00C31DFE"/>
    <w:rsid w:val="00C342F0"/>
    <w:rsid w:val="00C372CA"/>
    <w:rsid w:val="00C3795F"/>
    <w:rsid w:val="00C4132C"/>
    <w:rsid w:val="00C46170"/>
    <w:rsid w:val="00C46851"/>
    <w:rsid w:val="00C508F6"/>
    <w:rsid w:val="00C51CA4"/>
    <w:rsid w:val="00C563A0"/>
    <w:rsid w:val="00C57CFA"/>
    <w:rsid w:val="00C6058D"/>
    <w:rsid w:val="00C61839"/>
    <w:rsid w:val="00C6449A"/>
    <w:rsid w:val="00C65237"/>
    <w:rsid w:val="00C6550B"/>
    <w:rsid w:val="00C720E0"/>
    <w:rsid w:val="00C7367F"/>
    <w:rsid w:val="00C7382D"/>
    <w:rsid w:val="00C7616C"/>
    <w:rsid w:val="00C82EBB"/>
    <w:rsid w:val="00C8344A"/>
    <w:rsid w:val="00C8376D"/>
    <w:rsid w:val="00C83FA0"/>
    <w:rsid w:val="00C856F4"/>
    <w:rsid w:val="00C85DD3"/>
    <w:rsid w:val="00C87F0A"/>
    <w:rsid w:val="00C92151"/>
    <w:rsid w:val="00CA3FA8"/>
    <w:rsid w:val="00CA44F8"/>
    <w:rsid w:val="00CA48F7"/>
    <w:rsid w:val="00CA535A"/>
    <w:rsid w:val="00CA692B"/>
    <w:rsid w:val="00CB5286"/>
    <w:rsid w:val="00CB5D01"/>
    <w:rsid w:val="00CB5F1B"/>
    <w:rsid w:val="00CB6A39"/>
    <w:rsid w:val="00CB6C2F"/>
    <w:rsid w:val="00CC20FD"/>
    <w:rsid w:val="00CC23C8"/>
    <w:rsid w:val="00CC314E"/>
    <w:rsid w:val="00CC5049"/>
    <w:rsid w:val="00CC6570"/>
    <w:rsid w:val="00CD102A"/>
    <w:rsid w:val="00CD1925"/>
    <w:rsid w:val="00CD2BC0"/>
    <w:rsid w:val="00CD3ED1"/>
    <w:rsid w:val="00CE438B"/>
    <w:rsid w:val="00CE51E1"/>
    <w:rsid w:val="00CE67BE"/>
    <w:rsid w:val="00CF0818"/>
    <w:rsid w:val="00CF562F"/>
    <w:rsid w:val="00CF5C80"/>
    <w:rsid w:val="00CF7597"/>
    <w:rsid w:val="00D00DF5"/>
    <w:rsid w:val="00D026F7"/>
    <w:rsid w:val="00D03FF6"/>
    <w:rsid w:val="00D12251"/>
    <w:rsid w:val="00D13522"/>
    <w:rsid w:val="00D204A1"/>
    <w:rsid w:val="00D206E7"/>
    <w:rsid w:val="00D25649"/>
    <w:rsid w:val="00D25D2B"/>
    <w:rsid w:val="00D35680"/>
    <w:rsid w:val="00D41379"/>
    <w:rsid w:val="00D4747F"/>
    <w:rsid w:val="00D5018A"/>
    <w:rsid w:val="00D51338"/>
    <w:rsid w:val="00D52573"/>
    <w:rsid w:val="00D577F6"/>
    <w:rsid w:val="00D60261"/>
    <w:rsid w:val="00D63EF7"/>
    <w:rsid w:val="00D65763"/>
    <w:rsid w:val="00D6662E"/>
    <w:rsid w:val="00D71421"/>
    <w:rsid w:val="00D73B5C"/>
    <w:rsid w:val="00D74E9C"/>
    <w:rsid w:val="00D773F8"/>
    <w:rsid w:val="00D81507"/>
    <w:rsid w:val="00D839AE"/>
    <w:rsid w:val="00D84302"/>
    <w:rsid w:val="00D847D2"/>
    <w:rsid w:val="00D84BEF"/>
    <w:rsid w:val="00D8557B"/>
    <w:rsid w:val="00D85BAD"/>
    <w:rsid w:val="00D90D2D"/>
    <w:rsid w:val="00D9132C"/>
    <w:rsid w:val="00DA250A"/>
    <w:rsid w:val="00DB7B97"/>
    <w:rsid w:val="00DB7EA4"/>
    <w:rsid w:val="00DC113F"/>
    <w:rsid w:val="00DC1257"/>
    <w:rsid w:val="00DC5B78"/>
    <w:rsid w:val="00DC5F36"/>
    <w:rsid w:val="00DC62FC"/>
    <w:rsid w:val="00DC7685"/>
    <w:rsid w:val="00DC7FBC"/>
    <w:rsid w:val="00DD0C05"/>
    <w:rsid w:val="00DD1C61"/>
    <w:rsid w:val="00DD66CA"/>
    <w:rsid w:val="00DD7D22"/>
    <w:rsid w:val="00DE090D"/>
    <w:rsid w:val="00DE6D3E"/>
    <w:rsid w:val="00DF0013"/>
    <w:rsid w:val="00DF02F3"/>
    <w:rsid w:val="00DF2A83"/>
    <w:rsid w:val="00DF3D71"/>
    <w:rsid w:val="00DF40A2"/>
    <w:rsid w:val="00DF6D3F"/>
    <w:rsid w:val="00E00B8B"/>
    <w:rsid w:val="00E01031"/>
    <w:rsid w:val="00E1171A"/>
    <w:rsid w:val="00E1293C"/>
    <w:rsid w:val="00E15401"/>
    <w:rsid w:val="00E20B59"/>
    <w:rsid w:val="00E254C0"/>
    <w:rsid w:val="00E26211"/>
    <w:rsid w:val="00E26409"/>
    <w:rsid w:val="00E2666A"/>
    <w:rsid w:val="00E30AE8"/>
    <w:rsid w:val="00E43330"/>
    <w:rsid w:val="00E44267"/>
    <w:rsid w:val="00E469F6"/>
    <w:rsid w:val="00E4701E"/>
    <w:rsid w:val="00E5118E"/>
    <w:rsid w:val="00E51296"/>
    <w:rsid w:val="00E5183A"/>
    <w:rsid w:val="00E55F18"/>
    <w:rsid w:val="00E6167D"/>
    <w:rsid w:val="00E6684B"/>
    <w:rsid w:val="00E71D56"/>
    <w:rsid w:val="00E7257F"/>
    <w:rsid w:val="00E734B4"/>
    <w:rsid w:val="00E74374"/>
    <w:rsid w:val="00E7763E"/>
    <w:rsid w:val="00E77C69"/>
    <w:rsid w:val="00E818D2"/>
    <w:rsid w:val="00E8492F"/>
    <w:rsid w:val="00E865B9"/>
    <w:rsid w:val="00E87303"/>
    <w:rsid w:val="00E9369D"/>
    <w:rsid w:val="00E9600D"/>
    <w:rsid w:val="00E96631"/>
    <w:rsid w:val="00E9787A"/>
    <w:rsid w:val="00EA1EDE"/>
    <w:rsid w:val="00EA3657"/>
    <w:rsid w:val="00EA6D28"/>
    <w:rsid w:val="00EB0367"/>
    <w:rsid w:val="00EB2F7E"/>
    <w:rsid w:val="00EB78B3"/>
    <w:rsid w:val="00EC06AD"/>
    <w:rsid w:val="00EC106C"/>
    <w:rsid w:val="00EC1661"/>
    <w:rsid w:val="00EC4D1F"/>
    <w:rsid w:val="00EC6BC5"/>
    <w:rsid w:val="00ED2479"/>
    <w:rsid w:val="00ED388E"/>
    <w:rsid w:val="00EE11C4"/>
    <w:rsid w:val="00EF2C3D"/>
    <w:rsid w:val="00EF364A"/>
    <w:rsid w:val="00F0103A"/>
    <w:rsid w:val="00F0120C"/>
    <w:rsid w:val="00F0440C"/>
    <w:rsid w:val="00F04C78"/>
    <w:rsid w:val="00F05C7B"/>
    <w:rsid w:val="00F10651"/>
    <w:rsid w:val="00F1380D"/>
    <w:rsid w:val="00F14929"/>
    <w:rsid w:val="00F161FA"/>
    <w:rsid w:val="00F17074"/>
    <w:rsid w:val="00F2078A"/>
    <w:rsid w:val="00F25922"/>
    <w:rsid w:val="00F33A2A"/>
    <w:rsid w:val="00F36D92"/>
    <w:rsid w:val="00F36DFC"/>
    <w:rsid w:val="00F41A03"/>
    <w:rsid w:val="00F44694"/>
    <w:rsid w:val="00F45C1E"/>
    <w:rsid w:val="00F47E10"/>
    <w:rsid w:val="00F50D5E"/>
    <w:rsid w:val="00F56C72"/>
    <w:rsid w:val="00F61AE7"/>
    <w:rsid w:val="00F6465C"/>
    <w:rsid w:val="00F649F7"/>
    <w:rsid w:val="00F66B67"/>
    <w:rsid w:val="00F674CA"/>
    <w:rsid w:val="00F71317"/>
    <w:rsid w:val="00F721F0"/>
    <w:rsid w:val="00F73C8D"/>
    <w:rsid w:val="00F81173"/>
    <w:rsid w:val="00F8192B"/>
    <w:rsid w:val="00F81C4D"/>
    <w:rsid w:val="00F83D46"/>
    <w:rsid w:val="00F85873"/>
    <w:rsid w:val="00F9542F"/>
    <w:rsid w:val="00F97D6F"/>
    <w:rsid w:val="00FA2DAE"/>
    <w:rsid w:val="00FA5D54"/>
    <w:rsid w:val="00FA6E28"/>
    <w:rsid w:val="00FB70E2"/>
    <w:rsid w:val="00FC5511"/>
    <w:rsid w:val="00FC66A4"/>
    <w:rsid w:val="00FC7BC4"/>
    <w:rsid w:val="00FD0E10"/>
    <w:rsid w:val="00FD2C4A"/>
    <w:rsid w:val="00FD56C7"/>
    <w:rsid w:val="00FE3BC5"/>
    <w:rsid w:val="00FE4763"/>
    <w:rsid w:val="00FE522A"/>
    <w:rsid w:val="00FE556D"/>
    <w:rsid w:val="00FE5DF8"/>
    <w:rsid w:val="00FE76A1"/>
    <w:rsid w:val="00FF237A"/>
    <w:rsid w:val="00FF24A1"/>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071373"/>
  <w15:docId w15:val="{C5DFA556-8820-4191-B064-C8603296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styleId="UnresolvedMention">
    <w:name w:val="Unresolved Mention"/>
    <w:basedOn w:val="DefaultParagraphFont"/>
    <w:uiPriority w:val="99"/>
    <w:semiHidden/>
    <w:unhideWhenUsed/>
    <w:rsid w:val="000358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hyperlink" Target="https://www.resdac.org/resconnect/articles/2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hdo.maine.gov/mhdo-data-diction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mhdo.maine.gov/faqs_data.html%23apcd%20data" TargetMode="External"/><Relationship Id="rId10" Type="http://schemas.openxmlformats.org/officeDocument/2006/relationships/hyperlink" Target="http://mhdo.maine.gov/imh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Webcontact.MHDO@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5F5AA-ABCD-4378-A4F1-FDFE6504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lcandura</dc:creator>
  <cp:lastModifiedBy>Kate Mullins</cp:lastModifiedBy>
  <cp:revision>4</cp:revision>
  <dcterms:created xsi:type="dcterms:W3CDTF">2018-02-05T16:47:00Z</dcterms:created>
  <dcterms:modified xsi:type="dcterms:W3CDTF">2018-02-05T16:49:00Z</dcterms:modified>
</cp:coreProperties>
</file>